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-22860</wp:posOffset>
            </wp:positionV>
            <wp:extent cx="6225540" cy="720090"/>
            <wp:effectExtent l="19050" t="0" r="22860" b="0"/>
            <wp:wrapTight wrapText="bothSides">
              <wp:wrapPolygon edited="0">
                <wp:start x="66" y="1143"/>
                <wp:lineTo x="-66" y="4571"/>
                <wp:lineTo x="-66" y="16000"/>
                <wp:lineTo x="66" y="20000"/>
                <wp:lineTo x="1785" y="20571"/>
                <wp:lineTo x="2379" y="20571"/>
                <wp:lineTo x="21547" y="20571"/>
                <wp:lineTo x="21613" y="20571"/>
                <wp:lineTo x="21679" y="20000"/>
                <wp:lineTo x="21679" y="2286"/>
                <wp:lineTo x="21547" y="1143"/>
                <wp:lineTo x="66" y="1143"/>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5A4462" w:rsidP="00BC0345">
      <w:pPr>
        <w:pStyle w:val="Heading1"/>
        <w:jc w:val="center"/>
      </w:pPr>
      <w:r>
        <w:t>Interspecific Competition and Chemical Warfare</w:t>
      </w:r>
    </w:p>
    <w:p w:rsidR="00BC0345" w:rsidRPr="005D1100" w:rsidRDefault="00BC0345" w:rsidP="00BC0345">
      <w:pPr>
        <w:pStyle w:val="NoSpacing"/>
        <w:rPr>
          <w:b/>
        </w:rPr>
      </w:pPr>
      <w:r>
        <w:rPr>
          <w:b/>
        </w:rPr>
        <w:t>Purpose</w:t>
      </w:r>
    </w:p>
    <w:p w:rsidR="00407217" w:rsidRDefault="00407217" w:rsidP="00BC0345">
      <w:pPr>
        <w:pStyle w:val="NoSpacing"/>
      </w:pPr>
      <w:r>
        <w:t>Water, minerals, space and sunlight are important for plants to grow. Often plants must compete for these resources in a given environment. It may be challenging for a plant to establish a strong root system if minerals and space are lacking, just as it may be challenging for a young plant to grow if it is shaded by taller plants</w:t>
      </w:r>
      <w:r w:rsidR="003550FA">
        <w:t>.</w:t>
      </w:r>
    </w:p>
    <w:p w:rsidR="00407217" w:rsidRDefault="00407217" w:rsidP="00BC0345">
      <w:pPr>
        <w:pStyle w:val="NoSpacing"/>
      </w:pPr>
    </w:p>
    <w:p w:rsidR="00BC0345" w:rsidRDefault="00407217" w:rsidP="00BC0345">
      <w:pPr>
        <w:pStyle w:val="NoSpacing"/>
      </w:pPr>
      <w:r>
        <w:t>Scientists have revealed fascinating information! Some plants are able to manufacture and secrete chemicals into the soil around their roots, which slows or stops the germination of other plants that would compete for resources. The black walnut is one of the plants that is able to secrete these chemicals. The purpose of this lab is to evaluate interspecific competition with chemicals</w:t>
      </w:r>
      <w:r w:rsidR="00527B5A">
        <w:t>.</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425A5F" w:rsidRDefault="00407217" w:rsidP="0093561F">
      <w:pPr>
        <w:pStyle w:val="NoSpacing"/>
        <w:numPr>
          <w:ilvl w:val="0"/>
          <w:numId w:val="17"/>
        </w:numPr>
        <w:ind w:left="720"/>
      </w:pPr>
      <w:r>
        <w:t>Planting boxes (2)</w:t>
      </w:r>
    </w:p>
    <w:p w:rsidR="00407217" w:rsidRDefault="00407217" w:rsidP="0093561F">
      <w:pPr>
        <w:pStyle w:val="NoSpacing"/>
        <w:numPr>
          <w:ilvl w:val="0"/>
          <w:numId w:val="17"/>
        </w:numPr>
        <w:ind w:left="720"/>
      </w:pPr>
      <w:r>
        <w:t xml:space="preserve">Potting soil </w:t>
      </w:r>
    </w:p>
    <w:p w:rsidR="00407217" w:rsidRDefault="00407217" w:rsidP="0093561F">
      <w:pPr>
        <w:pStyle w:val="NoSpacing"/>
        <w:numPr>
          <w:ilvl w:val="0"/>
          <w:numId w:val="17"/>
        </w:numPr>
        <w:ind w:left="720"/>
      </w:pPr>
      <w:r>
        <w:t>Walnut hulls (preferred) or walnuts</w:t>
      </w:r>
    </w:p>
    <w:p w:rsidR="00407217" w:rsidRDefault="00407217" w:rsidP="0093561F">
      <w:pPr>
        <w:pStyle w:val="NoSpacing"/>
        <w:numPr>
          <w:ilvl w:val="0"/>
          <w:numId w:val="17"/>
        </w:numPr>
        <w:ind w:left="720"/>
      </w:pPr>
      <w:r>
        <w:t>Sunflower seeds</w:t>
      </w:r>
    </w:p>
    <w:p w:rsidR="00407217" w:rsidRDefault="00407217" w:rsidP="0093561F">
      <w:pPr>
        <w:pStyle w:val="NoSpacing"/>
        <w:numPr>
          <w:ilvl w:val="0"/>
          <w:numId w:val="17"/>
        </w:numPr>
        <w:ind w:left="720"/>
      </w:pPr>
      <w:r>
        <w:t>Metric ruler</w:t>
      </w:r>
    </w:p>
    <w:p w:rsidR="00407217" w:rsidRDefault="00407217" w:rsidP="0093561F">
      <w:pPr>
        <w:pStyle w:val="NoSpacing"/>
        <w:numPr>
          <w:ilvl w:val="0"/>
          <w:numId w:val="17"/>
        </w:numPr>
        <w:ind w:left="720"/>
      </w:pPr>
      <w:r>
        <w:t>String and tacks (optional)</w:t>
      </w:r>
    </w:p>
    <w:p w:rsidR="00407217" w:rsidRDefault="00407217" w:rsidP="0093561F">
      <w:pPr>
        <w:pStyle w:val="NoSpacing"/>
        <w:numPr>
          <w:ilvl w:val="0"/>
          <w:numId w:val="17"/>
        </w:numPr>
        <w:ind w:left="720"/>
      </w:pPr>
      <w:r>
        <w:t>Hammer</w:t>
      </w:r>
    </w:p>
    <w:p w:rsidR="00407217" w:rsidRDefault="00407217" w:rsidP="0093561F">
      <w:pPr>
        <w:pStyle w:val="NoSpacing"/>
        <w:numPr>
          <w:ilvl w:val="0"/>
          <w:numId w:val="17"/>
        </w:numPr>
        <w:ind w:left="720"/>
      </w:pPr>
      <w:r>
        <w:t>Balance</w:t>
      </w:r>
    </w:p>
    <w:p w:rsidR="00407217" w:rsidRPr="00425A5F" w:rsidRDefault="00407217" w:rsidP="00407217">
      <w:pPr>
        <w:pStyle w:val="NoSpacing"/>
        <w:ind w:left="1080"/>
      </w:pPr>
    </w:p>
    <w:p w:rsidR="00555E0A" w:rsidRDefault="00555E0A" w:rsidP="00555E0A">
      <w:pPr>
        <w:pStyle w:val="NoSpacing"/>
        <w:rPr>
          <w:b/>
        </w:rPr>
      </w:pPr>
      <w:r w:rsidRPr="00555E0A">
        <w:rPr>
          <w:b/>
        </w:rPr>
        <w:t>Sequence of Steps</w:t>
      </w:r>
    </w:p>
    <w:p w:rsidR="00407217" w:rsidRDefault="00407217" w:rsidP="00407217">
      <w:pPr>
        <w:pStyle w:val="NoSpacing"/>
        <w:numPr>
          <w:ilvl w:val="0"/>
          <w:numId w:val="21"/>
        </w:numPr>
      </w:pPr>
      <w:r>
        <w:t>Grind up or smash the hulls of 10 or more walnuts. Make a powder of them, if possible. If hulls are not available, use walnuts instead.</w:t>
      </w:r>
    </w:p>
    <w:p w:rsidR="00407217" w:rsidRDefault="00407217" w:rsidP="00407217">
      <w:pPr>
        <w:pStyle w:val="NoSpacing"/>
        <w:numPr>
          <w:ilvl w:val="0"/>
          <w:numId w:val="21"/>
        </w:numPr>
      </w:pPr>
      <w:r>
        <w:t xml:space="preserve">Place soil to a depth of at least 5 cm in boxes. Sprinkle the powdered walnut over the soil in one planting box. Mix it thoroughly with the soil. Smooth and gently pack the surface of the soil in both boxes. </w:t>
      </w:r>
    </w:p>
    <w:p w:rsidR="00407217" w:rsidRDefault="00407217" w:rsidP="00407217">
      <w:pPr>
        <w:pStyle w:val="NoSpacing"/>
        <w:numPr>
          <w:ilvl w:val="0"/>
          <w:numId w:val="21"/>
        </w:numPr>
      </w:pPr>
      <w:r>
        <w:t xml:space="preserve">Using a ruler and the point of a </w:t>
      </w:r>
      <w:r w:rsidR="00FA02F3">
        <w:t>pencil</w:t>
      </w:r>
      <w:r>
        <w:t xml:space="preserve"> gently lay out a grid system in the two boxes, crisscrossing the surface of the soil 8 cm apart. If the lines do not show up well, use the string and tacks to mark the grid system.</w:t>
      </w:r>
    </w:p>
    <w:p w:rsidR="00407217" w:rsidRDefault="00407217" w:rsidP="00407217">
      <w:pPr>
        <w:pStyle w:val="NoSpacing"/>
        <w:numPr>
          <w:ilvl w:val="0"/>
          <w:numId w:val="21"/>
        </w:numPr>
      </w:pPr>
      <w:r>
        <w:t>Make small holes 1 cm deep at the centers of all the squares marked off by the grid systems.</w:t>
      </w:r>
    </w:p>
    <w:p w:rsidR="00407217" w:rsidRDefault="00407217" w:rsidP="00407217">
      <w:pPr>
        <w:pStyle w:val="NoSpacing"/>
        <w:numPr>
          <w:ilvl w:val="0"/>
          <w:numId w:val="21"/>
        </w:numPr>
      </w:pPr>
      <w:r>
        <w:t>Plant 3 seeds of about the same size in each hole.</w:t>
      </w:r>
    </w:p>
    <w:p w:rsidR="00FA02F3" w:rsidRDefault="00407217" w:rsidP="00407217">
      <w:pPr>
        <w:pStyle w:val="NoSpacing"/>
        <w:numPr>
          <w:ilvl w:val="0"/>
          <w:numId w:val="21"/>
        </w:numPr>
      </w:pPr>
      <w:r>
        <w:t xml:space="preserve">Water the soil and place the boxes in a warm, bright location. Both boxes must be exposed to the same conditions of light and temperature, and should always be watered with the same amount of water. </w:t>
      </w:r>
    </w:p>
    <w:p w:rsidR="00FA02F3" w:rsidRDefault="00FA02F3" w:rsidP="00407217">
      <w:pPr>
        <w:pStyle w:val="NoSpacing"/>
        <w:numPr>
          <w:ilvl w:val="0"/>
          <w:numId w:val="21"/>
        </w:numPr>
      </w:pPr>
      <w:r>
        <w:t>After the sunflowers have sprouted, select the best seedling at each site. Kill the others by pinching off the growing tip.</w:t>
      </w:r>
    </w:p>
    <w:p w:rsidR="00407217" w:rsidRPr="00407217" w:rsidRDefault="00FA02F3" w:rsidP="00407217">
      <w:pPr>
        <w:pStyle w:val="NoSpacing"/>
        <w:numPr>
          <w:ilvl w:val="0"/>
          <w:numId w:val="21"/>
        </w:numPr>
      </w:pPr>
      <w:r>
        <w:rPr>
          <w:noProof/>
        </w:rPr>
        <w:lastRenderedPageBreak/>
        <w:drawing>
          <wp:anchor distT="0" distB="0" distL="114300" distR="114300" simplePos="0" relativeHeight="251681792" behindDoc="1" locked="0" layoutInCell="1" allowOverlap="1">
            <wp:simplePos x="0" y="0"/>
            <wp:positionH relativeFrom="column">
              <wp:posOffset>19050</wp:posOffset>
            </wp:positionH>
            <wp:positionV relativeFrom="paragraph">
              <wp:posOffset>-23495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Continue the investigation until the results of competition are obvious. Then make the measurements and observation necessary to complete Table 1. </w:t>
      </w:r>
      <w:r w:rsidR="00407217">
        <w:br/>
      </w: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D76E1A"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pPr>
    </w:p>
    <w:p w:rsidR="000719E1" w:rsidRDefault="00FA02F3" w:rsidP="003D7720">
      <w:pPr>
        <w:pStyle w:val="NoSpacing"/>
        <w:ind w:firstLine="720"/>
      </w:pPr>
      <w:r>
        <w:t>Table 1.</w:t>
      </w:r>
    </w:p>
    <w:tbl>
      <w:tblPr>
        <w:tblStyle w:val="TableGrid"/>
        <w:tblW w:w="0" w:type="auto"/>
        <w:tblLook w:val="04A0"/>
      </w:tblPr>
      <w:tblGrid>
        <w:gridCol w:w="4968"/>
        <w:gridCol w:w="1080"/>
        <w:gridCol w:w="1080"/>
      </w:tblGrid>
      <w:tr w:rsidR="00FA02F3" w:rsidTr="00FA02F3">
        <w:tc>
          <w:tcPr>
            <w:tcW w:w="4968" w:type="dxa"/>
          </w:tcPr>
          <w:p w:rsidR="00FA02F3" w:rsidRDefault="00FA02F3" w:rsidP="003D7720">
            <w:pPr>
              <w:pStyle w:val="NoSpacing"/>
            </w:pPr>
          </w:p>
        </w:tc>
        <w:tc>
          <w:tcPr>
            <w:tcW w:w="1080" w:type="dxa"/>
          </w:tcPr>
          <w:p w:rsidR="00FA02F3" w:rsidRDefault="00FA02F3" w:rsidP="003D7720">
            <w:pPr>
              <w:pStyle w:val="NoSpacing"/>
            </w:pPr>
            <w:r>
              <w:t>Box 1</w:t>
            </w:r>
          </w:p>
        </w:tc>
        <w:tc>
          <w:tcPr>
            <w:tcW w:w="1080" w:type="dxa"/>
          </w:tcPr>
          <w:p w:rsidR="00FA02F3" w:rsidRDefault="00FA02F3" w:rsidP="003D7720">
            <w:pPr>
              <w:pStyle w:val="NoSpacing"/>
            </w:pPr>
            <w:r>
              <w:t>Box  2</w:t>
            </w:r>
          </w:p>
        </w:tc>
      </w:tr>
      <w:tr w:rsidR="00FA02F3" w:rsidTr="00FA02F3">
        <w:tc>
          <w:tcPr>
            <w:tcW w:w="4968" w:type="dxa"/>
          </w:tcPr>
          <w:p w:rsidR="00FA02F3" w:rsidRDefault="00FA02F3" w:rsidP="003D7720">
            <w:pPr>
              <w:pStyle w:val="NoSpacing"/>
            </w:pPr>
            <w:r>
              <w:t>Percentage of plants surviving.</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r w:rsidR="00FA02F3" w:rsidTr="00FA02F3">
        <w:tc>
          <w:tcPr>
            <w:tcW w:w="4968" w:type="dxa"/>
          </w:tcPr>
          <w:p w:rsidR="00FA02F3" w:rsidRDefault="00FA02F3" w:rsidP="003D7720">
            <w:pPr>
              <w:pStyle w:val="NoSpacing"/>
            </w:pPr>
            <w:r>
              <w:t>Average height of plants.</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r w:rsidR="00FA02F3" w:rsidTr="00FA02F3">
        <w:tc>
          <w:tcPr>
            <w:tcW w:w="4968" w:type="dxa"/>
          </w:tcPr>
          <w:p w:rsidR="00FA02F3" w:rsidRDefault="00FA02F3" w:rsidP="003D7720">
            <w:pPr>
              <w:pStyle w:val="NoSpacing"/>
            </w:pPr>
            <w:r>
              <w:t>Average width of leaves at widest location.</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r w:rsidR="00FA02F3" w:rsidTr="00FA02F3">
        <w:tc>
          <w:tcPr>
            <w:tcW w:w="4968" w:type="dxa"/>
          </w:tcPr>
          <w:p w:rsidR="00FA02F3" w:rsidRDefault="00FA02F3" w:rsidP="003D7720">
            <w:pPr>
              <w:pStyle w:val="NoSpacing"/>
            </w:pPr>
            <w:r>
              <w:t>Average length of roots.</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r w:rsidR="00FA02F3" w:rsidTr="00FA02F3">
        <w:tc>
          <w:tcPr>
            <w:tcW w:w="4968" w:type="dxa"/>
          </w:tcPr>
          <w:p w:rsidR="00FA02F3" w:rsidRDefault="00FA02F3" w:rsidP="003D7720">
            <w:pPr>
              <w:pStyle w:val="NoSpacing"/>
            </w:pPr>
            <w:r>
              <w:t>Total weight of plant tissue.</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r w:rsidR="00FA02F3" w:rsidTr="00FA02F3">
        <w:tc>
          <w:tcPr>
            <w:tcW w:w="4968" w:type="dxa"/>
          </w:tcPr>
          <w:p w:rsidR="00FA02F3" w:rsidRDefault="00FA02F3" w:rsidP="003D7720">
            <w:pPr>
              <w:pStyle w:val="NoSpacing"/>
            </w:pPr>
            <w:r>
              <w:t>Average weight of plant tissue.</w:t>
            </w:r>
          </w:p>
        </w:tc>
        <w:tc>
          <w:tcPr>
            <w:tcW w:w="1080" w:type="dxa"/>
          </w:tcPr>
          <w:p w:rsidR="00FA02F3" w:rsidRDefault="00FA02F3" w:rsidP="003D7720">
            <w:pPr>
              <w:pStyle w:val="NoSpacing"/>
            </w:pPr>
          </w:p>
        </w:tc>
        <w:tc>
          <w:tcPr>
            <w:tcW w:w="1080" w:type="dxa"/>
          </w:tcPr>
          <w:p w:rsidR="00FA02F3" w:rsidRDefault="00FA02F3" w:rsidP="003D7720">
            <w:pPr>
              <w:pStyle w:val="NoSpacing"/>
            </w:pPr>
          </w:p>
        </w:tc>
      </w:tr>
    </w:tbl>
    <w:p w:rsidR="00FA02F3" w:rsidRPr="000719E1" w:rsidRDefault="00FA02F3" w:rsidP="003D7720">
      <w:pPr>
        <w:pStyle w:val="NoSpacing"/>
        <w:ind w:firstLine="720"/>
      </w:pPr>
    </w:p>
    <w:p w:rsidR="000719E1" w:rsidRDefault="00FA02F3" w:rsidP="000719E1">
      <w:pPr>
        <w:pStyle w:val="NoSpacing"/>
      </w:pPr>
      <w:r>
        <w:t>1.  Summarize the effects that the walnut powder had on sunflowers.</w:t>
      </w:r>
    </w:p>
    <w:p w:rsidR="00FA02F3" w:rsidRDefault="00FA02F3" w:rsidP="000719E1">
      <w:pPr>
        <w:pStyle w:val="NoSpacing"/>
      </w:pPr>
    </w:p>
    <w:p w:rsidR="00FA02F3" w:rsidRDefault="00FA02F3" w:rsidP="000719E1">
      <w:pPr>
        <w:pStyle w:val="NoSpacing"/>
      </w:pPr>
    </w:p>
    <w:p w:rsidR="00FA02F3" w:rsidRDefault="00FA02F3" w:rsidP="000719E1">
      <w:pPr>
        <w:pStyle w:val="NoSpacing"/>
      </w:pPr>
    </w:p>
    <w:p w:rsidR="00FA02F3" w:rsidRDefault="00FA02F3" w:rsidP="000719E1">
      <w:pPr>
        <w:pStyle w:val="NoSpacing"/>
      </w:pPr>
    </w:p>
    <w:p w:rsidR="00FA02F3" w:rsidRDefault="00FA02F3" w:rsidP="000719E1">
      <w:pPr>
        <w:pStyle w:val="NoSpacing"/>
      </w:pPr>
    </w:p>
    <w:p w:rsidR="00FA02F3" w:rsidRDefault="00FA02F3" w:rsidP="00125676">
      <w:pPr>
        <w:pStyle w:val="NoSpacing"/>
        <w:ind w:left="270" w:hanging="270"/>
      </w:pPr>
      <w:r>
        <w:t>2.  Some aspects of this investigation are obviously not equivalent to natural conditions. How do you think the process works in nature? (Note: the roots of walnut plants give off the same chemical as the hulls.)</w:t>
      </w:r>
    </w:p>
    <w:p w:rsidR="009502D5" w:rsidRDefault="009502D5" w:rsidP="00125676">
      <w:pPr>
        <w:pStyle w:val="NoSpacing"/>
        <w:ind w:left="270" w:hanging="270"/>
      </w:pPr>
    </w:p>
    <w:p w:rsidR="009502D5" w:rsidRDefault="009502D5" w:rsidP="00125676">
      <w:pPr>
        <w:pStyle w:val="NoSpacing"/>
        <w:ind w:left="270" w:hanging="270"/>
      </w:pPr>
    </w:p>
    <w:p w:rsidR="009502D5" w:rsidRDefault="009502D5" w:rsidP="00125676">
      <w:pPr>
        <w:pStyle w:val="NoSpacing"/>
        <w:ind w:left="270" w:hanging="270"/>
      </w:pPr>
    </w:p>
    <w:p w:rsidR="009502D5" w:rsidRDefault="009502D5" w:rsidP="00125676">
      <w:pPr>
        <w:pStyle w:val="NoSpacing"/>
        <w:ind w:left="270" w:hanging="270"/>
      </w:pPr>
    </w:p>
    <w:p w:rsidR="009502D5" w:rsidRDefault="009502D5" w:rsidP="00125676">
      <w:pPr>
        <w:pStyle w:val="NoSpacing"/>
        <w:ind w:left="270" w:hanging="270"/>
      </w:pPr>
    </w:p>
    <w:p w:rsidR="009502D5" w:rsidRDefault="009502D5" w:rsidP="00125676">
      <w:pPr>
        <w:pStyle w:val="NoSpacing"/>
        <w:ind w:left="270" w:hanging="270"/>
      </w:pPr>
    </w:p>
    <w:p w:rsidR="009502D5" w:rsidRDefault="009502D5" w:rsidP="00125676">
      <w:pPr>
        <w:pStyle w:val="NoSpacing"/>
        <w:ind w:left="270" w:hanging="270"/>
      </w:pPr>
      <w:r>
        <w:t xml:space="preserve">3. </w:t>
      </w:r>
      <w:r w:rsidR="00125676">
        <w:t xml:space="preserve"> </w:t>
      </w:r>
      <w:r>
        <w:t>According to the theory of natural selection, what types of species would survive around a black walnut tree?</w:t>
      </w:r>
    </w:p>
    <w:p w:rsidR="009502D5" w:rsidRDefault="009502D5" w:rsidP="000719E1">
      <w:pPr>
        <w:pStyle w:val="NoSpacing"/>
      </w:pPr>
    </w:p>
    <w:p w:rsidR="009502D5" w:rsidRDefault="009502D5" w:rsidP="000719E1">
      <w:pPr>
        <w:pStyle w:val="NoSpacing"/>
      </w:pPr>
    </w:p>
    <w:p w:rsidR="009502D5" w:rsidRDefault="009502D5" w:rsidP="000719E1">
      <w:pPr>
        <w:pStyle w:val="NoSpacing"/>
      </w:pPr>
    </w:p>
    <w:p w:rsidR="009502D5" w:rsidRDefault="009502D5" w:rsidP="000719E1">
      <w:pPr>
        <w:pStyle w:val="NoSpacing"/>
      </w:pPr>
    </w:p>
    <w:p w:rsidR="009502D5" w:rsidRDefault="009502D5" w:rsidP="000719E1">
      <w:pPr>
        <w:pStyle w:val="NoSpacing"/>
      </w:pPr>
    </w:p>
    <w:p w:rsidR="009502D5" w:rsidRDefault="009502D5" w:rsidP="000719E1">
      <w:pPr>
        <w:pStyle w:val="NoSpacing"/>
      </w:pPr>
    </w:p>
    <w:p w:rsidR="009502D5" w:rsidRDefault="009502D5" w:rsidP="000719E1">
      <w:pPr>
        <w:pStyle w:val="NoSpacing"/>
      </w:pPr>
    </w:p>
    <w:p w:rsidR="009502D5" w:rsidRDefault="009502D5" w:rsidP="000719E1">
      <w:pPr>
        <w:pStyle w:val="NoSpacing"/>
      </w:pPr>
      <w:r>
        <w:t>4.   What can we, as agriculturists, do to effectively manage this scenario to cause beneficial results?</w:t>
      </w:r>
    </w:p>
    <w:p w:rsidR="009502D5" w:rsidRDefault="009502D5" w:rsidP="000719E1">
      <w:pPr>
        <w:pStyle w:val="NoSpacing"/>
      </w:pPr>
    </w:p>
    <w:p w:rsidR="009502D5" w:rsidRDefault="009502D5" w:rsidP="000719E1">
      <w:pPr>
        <w:pStyle w:val="NoSpacing"/>
      </w:pPr>
    </w:p>
    <w:p w:rsidR="000719E1" w:rsidRDefault="000719E1" w:rsidP="000719E1">
      <w:pPr>
        <w:pStyle w:val="NoSpacing"/>
        <w:ind w:left="540"/>
      </w:pPr>
    </w:p>
    <w:p w:rsidR="00B159F2" w:rsidRDefault="00B159F2" w:rsidP="00B159F2">
      <w:pPr>
        <w:pStyle w:val="NoSpacing"/>
        <w:tabs>
          <w:tab w:val="left" w:pos="1080"/>
        </w:tabs>
        <w:ind w:left="1080"/>
      </w:pPr>
    </w:p>
    <w:p w:rsidR="00A22241" w:rsidRPr="003D7720" w:rsidRDefault="00A22241" w:rsidP="003D7720">
      <w:pPr>
        <w:pStyle w:val="NoSpacing"/>
        <w:tabs>
          <w:tab w:val="left" w:pos="1080"/>
        </w:tabs>
        <w:ind w:left="720"/>
      </w:pPr>
    </w:p>
    <w:sectPr w:rsidR="00A2224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60" w:rsidRDefault="00B84260" w:rsidP="00DC7CC6">
      <w:pPr>
        <w:spacing w:after="0" w:line="240" w:lineRule="auto"/>
      </w:pPr>
      <w:r>
        <w:separator/>
      </w:r>
    </w:p>
  </w:endnote>
  <w:endnote w:type="continuationSeparator" w:id="0">
    <w:p w:rsidR="00B84260" w:rsidRDefault="00B84260"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5A4462">
        <w:t>Interspecific Competition and Chemical Warfare</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3561F">
      <w:tc>
        <w:tcPr>
          <w:tcW w:w="918" w:type="dxa"/>
        </w:tcPr>
        <w:p w:rsidR="0093561F" w:rsidRDefault="00D76E1A">
          <w:pPr>
            <w:pStyle w:val="Footer"/>
            <w:jc w:val="right"/>
            <w:rPr>
              <w:b/>
              <w:color w:val="4F81BD" w:themeColor="accent1"/>
              <w:sz w:val="32"/>
              <w:szCs w:val="32"/>
            </w:rPr>
          </w:pPr>
          <w:fldSimple w:instr=" PAGE   \* MERGEFORMAT ">
            <w:r w:rsidR="00125676" w:rsidRPr="00125676">
              <w:rPr>
                <w:b/>
                <w:noProof/>
                <w:color w:val="4F81BD" w:themeColor="accent1"/>
                <w:sz w:val="32"/>
                <w:szCs w:val="32"/>
              </w:rPr>
              <w:t>2</w:t>
            </w:r>
          </w:fldSimple>
        </w:p>
      </w:tc>
      <w:tc>
        <w:tcPr>
          <w:tcW w:w="7938" w:type="dxa"/>
        </w:tcPr>
        <w:p w:rsidR="0093561F" w:rsidRPr="0093561F" w:rsidRDefault="0093561F" w:rsidP="0093561F">
          <w:pPr>
            <w:pStyle w:val="Footer"/>
            <w:jc w:val="right"/>
            <w:rPr>
              <w:b/>
              <w:sz w:val="32"/>
              <w:szCs w:val="32"/>
            </w:rPr>
          </w:pPr>
          <w:r>
            <w:rPr>
              <w:b/>
              <w:sz w:val="32"/>
              <w:szCs w:val="32"/>
            </w:rPr>
            <w:t>LAB C-12</w:t>
          </w:r>
        </w:p>
      </w:tc>
    </w:tr>
  </w:tbl>
  <w:p w:rsidR="0093561F" w:rsidRDefault="00935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60" w:rsidRDefault="00B84260" w:rsidP="00DC7CC6">
      <w:pPr>
        <w:spacing w:after="0" w:line="240" w:lineRule="auto"/>
      </w:pPr>
      <w:r>
        <w:separator/>
      </w:r>
    </w:p>
  </w:footnote>
  <w:footnote w:type="continuationSeparator" w:id="0">
    <w:p w:rsidR="00B84260" w:rsidRDefault="00B84260"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EE0"/>
    <w:multiLevelType w:val="hybridMultilevel"/>
    <w:tmpl w:val="399A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C1992"/>
    <w:multiLevelType w:val="hybridMultilevel"/>
    <w:tmpl w:val="45E00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90B41"/>
    <w:multiLevelType w:val="hybridMultilevel"/>
    <w:tmpl w:val="C69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2D0B"/>
    <w:multiLevelType w:val="hybridMultilevel"/>
    <w:tmpl w:val="7B44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DA23C5"/>
    <w:multiLevelType w:val="hybridMultilevel"/>
    <w:tmpl w:val="2A6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083E43"/>
    <w:multiLevelType w:val="hybridMultilevel"/>
    <w:tmpl w:val="88489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CE72AD"/>
    <w:multiLevelType w:val="hybridMultilevel"/>
    <w:tmpl w:val="91A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604CEC"/>
    <w:multiLevelType w:val="hybridMultilevel"/>
    <w:tmpl w:val="8FA2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F71A4"/>
    <w:multiLevelType w:val="hybridMultilevel"/>
    <w:tmpl w:val="FDF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1C280A"/>
    <w:multiLevelType w:val="hybridMultilevel"/>
    <w:tmpl w:val="66C8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9"/>
  </w:num>
  <w:num w:numId="5">
    <w:abstractNumId w:val="5"/>
  </w:num>
  <w:num w:numId="6">
    <w:abstractNumId w:val="13"/>
  </w:num>
  <w:num w:numId="7">
    <w:abstractNumId w:val="14"/>
  </w:num>
  <w:num w:numId="8">
    <w:abstractNumId w:val="16"/>
  </w:num>
  <w:num w:numId="9">
    <w:abstractNumId w:val="12"/>
  </w:num>
  <w:num w:numId="10">
    <w:abstractNumId w:val="19"/>
  </w:num>
  <w:num w:numId="11">
    <w:abstractNumId w:val="6"/>
  </w:num>
  <w:num w:numId="12">
    <w:abstractNumId w:val="0"/>
  </w:num>
  <w:num w:numId="13">
    <w:abstractNumId w:val="7"/>
  </w:num>
  <w:num w:numId="14">
    <w:abstractNumId w:val="3"/>
  </w:num>
  <w:num w:numId="15">
    <w:abstractNumId w:val="20"/>
  </w:num>
  <w:num w:numId="16">
    <w:abstractNumId w:val="11"/>
  </w:num>
  <w:num w:numId="17">
    <w:abstractNumId w:val="1"/>
  </w:num>
  <w:num w:numId="18">
    <w:abstractNumId w:val="2"/>
  </w:num>
  <w:num w:numId="19">
    <w:abstractNumId w:val="18"/>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11B27"/>
    <w:rsid w:val="00032B91"/>
    <w:rsid w:val="000719E1"/>
    <w:rsid w:val="000E0B75"/>
    <w:rsid w:val="00125676"/>
    <w:rsid w:val="001837A7"/>
    <w:rsid w:val="00234EA0"/>
    <w:rsid w:val="00295B7B"/>
    <w:rsid w:val="003550FA"/>
    <w:rsid w:val="00384E44"/>
    <w:rsid w:val="003D7720"/>
    <w:rsid w:val="00407217"/>
    <w:rsid w:val="00424EAD"/>
    <w:rsid w:val="0042503B"/>
    <w:rsid w:val="00425A5F"/>
    <w:rsid w:val="004C513A"/>
    <w:rsid w:val="00527B5A"/>
    <w:rsid w:val="00555E0A"/>
    <w:rsid w:val="0057099E"/>
    <w:rsid w:val="00585FA0"/>
    <w:rsid w:val="00586722"/>
    <w:rsid w:val="005A4462"/>
    <w:rsid w:val="005B62E0"/>
    <w:rsid w:val="005C191C"/>
    <w:rsid w:val="0080284D"/>
    <w:rsid w:val="00844BA9"/>
    <w:rsid w:val="00847E4F"/>
    <w:rsid w:val="00885169"/>
    <w:rsid w:val="008B4297"/>
    <w:rsid w:val="008F02EA"/>
    <w:rsid w:val="009132AA"/>
    <w:rsid w:val="0093561F"/>
    <w:rsid w:val="009502D5"/>
    <w:rsid w:val="00A14897"/>
    <w:rsid w:val="00A22241"/>
    <w:rsid w:val="00A62AA4"/>
    <w:rsid w:val="00AB7966"/>
    <w:rsid w:val="00AE3CB6"/>
    <w:rsid w:val="00B159F2"/>
    <w:rsid w:val="00B348AC"/>
    <w:rsid w:val="00B35A16"/>
    <w:rsid w:val="00B35FC6"/>
    <w:rsid w:val="00B7419A"/>
    <w:rsid w:val="00B8070F"/>
    <w:rsid w:val="00B84260"/>
    <w:rsid w:val="00BC0345"/>
    <w:rsid w:val="00CD53B9"/>
    <w:rsid w:val="00D745C8"/>
    <w:rsid w:val="00D76E1A"/>
    <w:rsid w:val="00DB38AF"/>
    <w:rsid w:val="00DC7CC6"/>
    <w:rsid w:val="00DE1D37"/>
    <w:rsid w:val="00E51E76"/>
    <w:rsid w:val="00E81175"/>
    <w:rsid w:val="00F32D33"/>
    <w:rsid w:val="00F354B8"/>
    <w:rsid w:val="00F54181"/>
    <w:rsid w:val="00F74DDE"/>
    <w:rsid w:val="00FA0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5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61F"/>
  </w:style>
  <w:style w:type="paragraph" w:styleId="Footer">
    <w:name w:val="footer"/>
    <w:basedOn w:val="Normal"/>
    <w:link w:val="FooterChar"/>
    <w:uiPriority w:val="99"/>
    <w:unhideWhenUsed/>
    <w:rsid w:val="0093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11.1, C 11.2, F 2.6, G 3.4, and G 3.6.</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39F19-42FF-4813-BA89-9AD3F516CA02}">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83C4FE0-ED30-4A90-B6BB-CD6AAD8FE339}" type="parTrans" cxnId="{133DC0FE-AF86-4F28-934E-C28CB3039687}">
      <dgm:prSet/>
      <dgm:spPr/>
      <dgm:t>
        <a:bodyPr/>
        <a:lstStyle/>
        <a:p>
          <a:endParaRPr lang="en-US"/>
        </a:p>
      </dgm:t>
    </dgm:pt>
    <dgm:pt modelId="{A3CEA269-8EC6-471D-AF35-25D354D6B33C}" type="sibTrans" cxnId="{133DC0FE-AF86-4F28-934E-C28CB3039687}">
      <dgm:prSet/>
      <dgm:spPr/>
      <dgm:t>
        <a:bodyPr/>
        <a:lstStyle/>
        <a:p>
          <a:endParaRPr lang="en-US"/>
        </a:p>
      </dgm:t>
    </dgm:pt>
    <dgm:pt modelId="{9D5C67F9-DA36-4FFE-9F35-EFB05B01263D}">
      <dgm:prSet phldrT="[Text]" custT="1"/>
      <dgm:spPr/>
      <dgm:t>
        <a:bodyPr/>
        <a:lstStyle/>
        <a:p>
          <a:r>
            <a:rPr lang="en-US" sz="800"/>
            <a:t>(Foundation) 5.0 </a:t>
          </a:r>
          <a:r>
            <a:rPr lang="en-US" sz="800" i="0"/>
            <a:t>Problem Solving and Critical Thinking: </a:t>
          </a:r>
          <a:r>
            <a:rPr lang="en-US" sz="800"/>
            <a:t>(5.3). </a:t>
          </a:r>
        </a:p>
      </dgm:t>
    </dgm:pt>
    <dgm:pt modelId="{21336BA5-B0DA-4961-9ACB-5154E9643951}" type="parTrans" cxnId="{97574768-E55E-49E2-BDC3-CFC3913571A6}">
      <dgm:prSet/>
      <dgm:spPr/>
    </dgm:pt>
    <dgm:pt modelId="{D9613E55-40DE-416C-9127-8682AC4C331D}" type="sibTrans" cxnId="{97574768-E55E-49E2-BDC3-CFC3913571A6}">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97574768-E55E-49E2-BDC3-CFC3913571A6}" srcId="{ED35E908-99EA-4021-B7AA-FFFF751752DA}" destId="{9D5C67F9-DA36-4FFE-9F35-EFB05B01263D}" srcOrd="2" destOrd="0" parTransId="{21336BA5-B0DA-4961-9ACB-5154E9643951}" sibTransId="{D9613E55-40DE-416C-9127-8682AC4C331D}"/>
    <dgm:cxn modelId="{A4DCE4CB-7044-48EC-92E9-056644B64D6E}" srcId="{C3C9244B-6B8D-431D-AE6F-7BCD90AB9A2A}" destId="{ED35E908-99EA-4021-B7AA-FFFF751752DA}" srcOrd="0" destOrd="0" parTransId="{FA98AEA8-BBB6-49D3-A9FD-15D5FFC20870}" sibTransId="{711F6B08-52D1-4548-9C05-18D8AD05C364}"/>
    <dgm:cxn modelId="{133DC0FE-AF86-4F28-934E-C28CB3039687}" srcId="{ED35E908-99EA-4021-B7AA-FFFF751752DA}" destId="{B9D39F19-42FF-4813-BA89-9AD3F516CA02}" srcOrd="1" destOrd="0" parTransId="{583C4FE0-ED30-4A90-B6BB-CD6AAD8FE339}" sibTransId="{A3CEA269-8EC6-471D-AF35-25D354D6B33C}"/>
    <dgm:cxn modelId="{2E158092-D00B-4279-B907-B7F736B445C8}" type="presOf" srcId="{C3C9244B-6B8D-431D-AE6F-7BCD90AB9A2A}" destId="{A4D15F51-D5B8-4FEF-AC1F-DDC6C711288A}" srcOrd="0" destOrd="0" presId="urn:microsoft.com/office/officeart/2005/8/layout/vList5"/>
    <dgm:cxn modelId="{19ABD0E5-2DFA-4C96-8E08-DBAF4BBE4EBA}" type="presOf" srcId="{9D5C67F9-DA36-4FFE-9F35-EFB05B01263D}" destId="{D85A961A-C185-4492-A3AB-0E0AC3BBFA0A}" srcOrd="0" destOrd="2" presId="urn:microsoft.com/office/officeart/2005/8/layout/vList5"/>
    <dgm:cxn modelId="{BF3B1CC7-4B75-4BA9-873D-CA5482EF33FA}" type="presOf" srcId="{B9D39F19-42FF-4813-BA89-9AD3F516CA02}" destId="{D85A961A-C185-4492-A3AB-0E0AC3BBFA0A}" srcOrd="0" destOrd="1" presId="urn:microsoft.com/office/officeart/2005/8/layout/vList5"/>
    <dgm:cxn modelId="{D9942C07-1617-4003-A178-B9F405A7CED7}" type="presOf" srcId="{ED35E908-99EA-4021-B7AA-FFFF751752DA}" destId="{287B5900-FDF9-4D22-B246-5318F5951704}" srcOrd="0" destOrd="0" presId="urn:microsoft.com/office/officeart/2005/8/layout/vList5"/>
    <dgm:cxn modelId="{C65B3DE5-9D83-435D-B7E7-BD631C8AEC0F}" type="presOf" srcId="{3EE877E5-497D-48F8-B93E-6023B73C0C2D}" destId="{D85A961A-C185-4492-A3AB-0E0AC3BBFA0A}" srcOrd="0" destOrd="0" presId="urn:microsoft.com/office/officeart/2005/8/layout/vList5"/>
    <dgm:cxn modelId="{3F452D37-EC5B-441B-99B4-E9356BF0FC9F}" type="presParOf" srcId="{A4D15F51-D5B8-4FEF-AC1F-DDC6C711288A}" destId="{14F679C8-DA1F-4869-9C94-982F261574D1}" srcOrd="0" destOrd="0" presId="urn:microsoft.com/office/officeart/2005/8/layout/vList5"/>
    <dgm:cxn modelId="{BD2F4FF2-5104-480D-86A8-F24F34F76B3E}" type="presParOf" srcId="{14F679C8-DA1F-4869-9C94-982F261574D1}" destId="{287B5900-FDF9-4D22-B246-5318F5951704}" srcOrd="0" destOrd="0" presId="urn:microsoft.com/office/officeart/2005/8/layout/vList5"/>
    <dgm:cxn modelId="{3262ED27-7B6E-45BC-B3BC-7B97E9A70C2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 and 8.a.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16D52CA3-0E79-4DAE-B696-66C42DD8DDE4}"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0235BBC7-97CC-4090-9903-61CD33A576E7}"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5FCCC2B-694F-45F5-B4C1-D65E0E8B1C0B}" type="presOf" srcId="{C3C9244B-6B8D-431D-AE6F-7BCD90AB9A2A}" destId="{A4D15F51-D5B8-4FEF-AC1F-DDC6C711288A}" srcOrd="0" destOrd="0" presId="urn:microsoft.com/office/officeart/2005/8/layout/vList5"/>
    <dgm:cxn modelId="{D6BC0280-983C-4163-BA48-A1EC47AD5822}" type="presParOf" srcId="{A4D15F51-D5B8-4FEF-AC1F-DDC6C711288A}" destId="{14F679C8-DA1F-4869-9C94-982F261574D1}" srcOrd="0" destOrd="0" presId="urn:microsoft.com/office/officeart/2005/8/layout/vList5"/>
    <dgm:cxn modelId="{6F0EF102-D2FB-437B-BE47-CECC385EC631}" type="presParOf" srcId="{14F679C8-DA1F-4869-9C94-982F261574D1}" destId="{287B5900-FDF9-4D22-B246-5318F5951704}" srcOrd="0" destOrd="0" presId="urn:microsoft.com/office/officeart/2005/8/layout/vList5"/>
    <dgm:cxn modelId="{C73517B5-9B9C-4C3C-A5C1-3CD3F06E0B3C}"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C039-A8A3-496C-9039-DC005179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2009-08-06T20:41:00Z</dcterms:created>
  <dcterms:modified xsi:type="dcterms:W3CDTF">2009-09-24T18:35:00Z</dcterms:modified>
</cp:coreProperties>
</file>