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08" w:rsidRDefault="00AD2108" w:rsidP="00AD2108">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3456" y="755"/>
                <wp:lineTo x="-66" y="1510"/>
                <wp:lineTo x="-66" y="19636"/>
                <wp:lineTo x="266" y="20392"/>
                <wp:lineTo x="2392" y="20392"/>
                <wp:lineTo x="21664" y="20392"/>
                <wp:lineTo x="21664" y="755"/>
                <wp:lineTo x="7975" y="755"/>
                <wp:lineTo x="3456" y="755"/>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AD2108" w:rsidRDefault="00AD2108" w:rsidP="00AD2108">
      <w:pPr>
        <w:jc w:val="right"/>
      </w:pPr>
      <w:r>
        <w:t>Date____________________</w:t>
      </w:r>
    </w:p>
    <w:p w:rsidR="00AD2108" w:rsidRDefault="00AD2108" w:rsidP="00AD2108">
      <w:pPr>
        <w:pStyle w:val="Heading1"/>
        <w:jc w:val="center"/>
      </w:pPr>
      <w:r>
        <w:t>Effects of Minerals on Plant Growth</w:t>
      </w:r>
    </w:p>
    <w:p w:rsidR="00AD2108" w:rsidRPr="005D1100" w:rsidRDefault="00AD2108" w:rsidP="00AD2108">
      <w:pPr>
        <w:pStyle w:val="NoSpacing"/>
        <w:rPr>
          <w:b/>
        </w:rPr>
      </w:pPr>
      <w:r>
        <w:rPr>
          <w:b/>
        </w:rPr>
        <w:t>Purpose</w:t>
      </w:r>
    </w:p>
    <w:p w:rsidR="00AD2108" w:rsidRDefault="00AD2108" w:rsidP="00AD2108">
      <w:pPr>
        <w:pStyle w:val="NoSpacing"/>
      </w:pPr>
      <w:r>
        <w:t>Minerals in the soil affect plant growth. Some minerals affect height while others affect tissue development. The purpose of this exercise is to observe the effects of minerals on plant growth.</w:t>
      </w:r>
      <w:r>
        <w:rPr>
          <w:rStyle w:val="EndnoteReference"/>
        </w:rPr>
        <w:endnoteReference w:id="2"/>
      </w:r>
      <w:r>
        <w:t xml:space="preserve"> </w:t>
      </w:r>
    </w:p>
    <w:p w:rsidR="00AD2108" w:rsidRDefault="00AD2108" w:rsidP="00AD2108">
      <w:pPr>
        <w:pStyle w:val="NoSpacing"/>
      </w:pPr>
    </w:p>
    <w:p w:rsidR="00AD2108" w:rsidRDefault="00AD2108" w:rsidP="00AD2108">
      <w:pPr>
        <w:pStyle w:val="NoSpacing"/>
        <w:rPr>
          <w:b/>
        </w:rPr>
      </w:pPr>
      <w:r w:rsidRPr="004F2147">
        <w:rPr>
          <w:b/>
        </w:rPr>
        <w:t>Procedure</w:t>
      </w:r>
    </w:p>
    <w:p w:rsidR="00AD2108" w:rsidRDefault="00AD2108" w:rsidP="00AD2108">
      <w:pPr>
        <w:pStyle w:val="NoSpacing"/>
        <w:rPr>
          <w:b/>
        </w:rPr>
      </w:pPr>
      <w:r>
        <w:t xml:space="preserve">    </w:t>
      </w:r>
      <w:r w:rsidRPr="004F2147">
        <w:rPr>
          <w:b/>
        </w:rPr>
        <w:t>Materials</w:t>
      </w:r>
    </w:p>
    <w:p w:rsidR="00AD2108" w:rsidRDefault="00591824" w:rsidP="00AD2108">
      <w:pPr>
        <w:pStyle w:val="NoSpacing"/>
        <w:numPr>
          <w:ilvl w:val="0"/>
          <w:numId w:val="1"/>
        </w:numPr>
      </w:pPr>
      <w:r>
        <w:t>Seedlings (approx. 5cm height)</w:t>
      </w:r>
      <w:r w:rsidR="002D6BE0">
        <w:tab/>
      </w:r>
      <w:r w:rsidR="002D6BE0">
        <w:tab/>
      </w:r>
      <w:r w:rsidR="002D6BE0">
        <w:tab/>
        <w:t>6. Soil sample</w:t>
      </w:r>
    </w:p>
    <w:p w:rsidR="00591824" w:rsidRDefault="00591824" w:rsidP="00AD2108">
      <w:pPr>
        <w:pStyle w:val="NoSpacing"/>
        <w:numPr>
          <w:ilvl w:val="0"/>
          <w:numId w:val="1"/>
        </w:numPr>
      </w:pPr>
      <w:r>
        <w:t>15 flowerpots, 8cm diameter</w:t>
      </w:r>
      <w:r w:rsidR="002D6BE0">
        <w:tab/>
      </w:r>
      <w:r w:rsidR="002D6BE0">
        <w:tab/>
      </w:r>
      <w:r w:rsidR="002D6BE0">
        <w:tab/>
        <w:t>7. Balance</w:t>
      </w:r>
    </w:p>
    <w:p w:rsidR="00591824" w:rsidRDefault="00591824" w:rsidP="00AD2108">
      <w:pPr>
        <w:pStyle w:val="NoSpacing"/>
        <w:numPr>
          <w:ilvl w:val="0"/>
          <w:numId w:val="1"/>
        </w:numPr>
      </w:pPr>
      <w:r>
        <w:t>Nitrogen compound (ex. sodium nitrate)</w:t>
      </w:r>
      <w:r w:rsidR="002D6BE0">
        <w:tab/>
      </w:r>
      <w:r w:rsidR="002D6BE0">
        <w:tab/>
        <w:t>8. Evaporating dishes</w:t>
      </w:r>
    </w:p>
    <w:p w:rsidR="006B290F" w:rsidRDefault="00591824" w:rsidP="002D6BE0">
      <w:pPr>
        <w:pStyle w:val="NoSpacing"/>
        <w:numPr>
          <w:ilvl w:val="0"/>
          <w:numId w:val="1"/>
        </w:numPr>
      </w:pPr>
      <w:r>
        <w:t>Phosphorus compound (</w:t>
      </w:r>
      <w:r w:rsidR="002D6BE0">
        <w:t>ex. sodium phosphate)</w:t>
      </w:r>
      <w:r w:rsidR="002D6BE0">
        <w:tab/>
        <w:t>9. Drying oven</w:t>
      </w:r>
    </w:p>
    <w:p w:rsidR="002D6BE0" w:rsidRDefault="002D6BE0" w:rsidP="002D6BE0">
      <w:pPr>
        <w:pStyle w:val="NoSpacing"/>
        <w:numPr>
          <w:ilvl w:val="0"/>
          <w:numId w:val="1"/>
        </w:numPr>
      </w:pPr>
      <w:r>
        <w:t>Potassium compound (ex. potassium sulfate)</w:t>
      </w:r>
      <w:r>
        <w:tab/>
        <w:t>10. Commercial plant nutrient mixture</w:t>
      </w:r>
    </w:p>
    <w:p w:rsidR="002D6BE0" w:rsidRDefault="002D6BE0" w:rsidP="002D6BE0">
      <w:pPr>
        <w:pStyle w:val="NoSpacing"/>
      </w:pPr>
    </w:p>
    <w:p w:rsidR="002D6BE0" w:rsidRDefault="002D6BE0" w:rsidP="002D6BE0">
      <w:pPr>
        <w:pStyle w:val="NoSpacing"/>
        <w:rPr>
          <w:b/>
        </w:rPr>
      </w:pPr>
      <w:r>
        <w:rPr>
          <w:b/>
        </w:rPr>
        <w:t>Sequence of Steps</w:t>
      </w:r>
    </w:p>
    <w:p w:rsidR="002D6BE0" w:rsidRDefault="00C37DBB" w:rsidP="00C37DBB">
      <w:pPr>
        <w:pStyle w:val="NoSpacing"/>
        <w:numPr>
          <w:ilvl w:val="0"/>
          <w:numId w:val="2"/>
        </w:numPr>
      </w:pPr>
      <w:r>
        <w:t>Fill each of the flowerpots to 2cm from the top with the soil sample.</w:t>
      </w:r>
    </w:p>
    <w:p w:rsidR="00C37DBB" w:rsidRDefault="00C37DBB" w:rsidP="00C37DBB">
      <w:pPr>
        <w:pStyle w:val="NoSpacing"/>
        <w:numPr>
          <w:ilvl w:val="0"/>
          <w:numId w:val="2"/>
        </w:numPr>
      </w:pPr>
      <w:r>
        <w:t>Add 1g of sodium nitrate to each of 3 flowerpots. Mix into soil well. Label pots</w:t>
      </w:r>
      <w:r w:rsidR="00441CE5">
        <w:t xml:space="preserve"> (A1-3)</w:t>
      </w:r>
      <w:r>
        <w:t>.</w:t>
      </w:r>
    </w:p>
    <w:p w:rsidR="00C37DBB" w:rsidRDefault="00C37DBB" w:rsidP="00C37DBB">
      <w:pPr>
        <w:pStyle w:val="NoSpacing"/>
        <w:numPr>
          <w:ilvl w:val="0"/>
          <w:numId w:val="2"/>
        </w:numPr>
      </w:pPr>
      <w:r>
        <w:t>Add 1g of sodium phosphate to each of 3 other flowerpots. Mix well and label</w:t>
      </w:r>
      <w:r w:rsidR="00441CE5">
        <w:t xml:space="preserve"> (B1-3)</w:t>
      </w:r>
      <w:r>
        <w:t>.</w:t>
      </w:r>
    </w:p>
    <w:p w:rsidR="00C37DBB" w:rsidRDefault="00C37DBB" w:rsidP="00C37DBB">
      <w:pPr>
        <w:pStyle w:val="NoSpacing"/>
        <w:numPr>
          <w:ilvl w:val="0"/>
          <w:numId w:val="2"/>
        </w:numPr>
      </w:pPr>
      <w:r>
        <w:t>Add 1g of potassium sulfate to each of 3 other pots. Mix well and label</w:t>
      </w:r>
      <w:r w:rsidR="00441CE5">
        <w:t xml:space="preserve"> (C1-3)</w:t>
      </w:r>
      <w:r>
        <w:t>.</w:t>
      </w:r>
    </w:p>
    <w:p w:rsidR="00C37DBB" w:rsidRDefault="00C37DBB" w:rsidP="00C37DBB">
      <w:pPr>
        <w:pStyle w:val="NoSpacing"/>
        <w:numPr>
          <w:ilvl w:val="0"/>
          <w:numId w:val="2"/>
        </w:numPr>
      </w:pPr>
      <w:r>
        <w:t>Add 2g of commercial plant nutrient mixture to each of 3 more pots.</w:t>
      </w:r>
      <w:r w:rsidR="00441CE5">
        <w:t xml:space="preserve"> Mix well and label (D1-3)</w:t>
      </w:r>
      <w:r w:rsidR="00C75490">
        <w:t>.</w:t>
      </w:r>
    </w:p>
    <w:p w:rsidR="00C37DBB" w:rsidRDefault="00C37DBB" w:rsidP="00C37DBB">
      <w:pPr>
        <w:pStyle w:val="NoSpacing"/>
        <w:numPr>
          <w:ilvl w:val="0"/>
          <w:numId w:val="2"/>
        </w:numPr>
      </w:pPr>
      <w:r>
        <w:t xml:space="preserve">Label the remaining 3 </w:t>
      </w:r>
      <w:r w:rsidR="00C75490">
        <w:t xml:space="preserve">control </w:t>
      </w:r>
      <w:r>
        <w:t xml:space="preserve">pots </w:t>
      </w:r>
      <w:r w:rsidR="00441CE5">
        <w:t>as (E1-3)</w:t>
      </w:r>
      <w:r w:rsidR="00C75490">
        <w:t>.</w:t>
      </w:r>
    </w:p>
    <w:p w:rsidR="00C37DBB" w:rsidRDefault="00C37DBB" w:rsidP="00C37DBB">
      <w:pPr>
        <w:pStyle w:val="NoSpacing"/>
        <w:numPr>
          <w:ilvl w:val="0"/>
          <w:numId w:val="2"/>
        </w:numPr>
      </w:pPr>
      <w:r>
        <w:rPr>
          <w:noProof/>
        </w:rPr>
        <w:drawing>
          <wp:anchor distT="0" distB="0" distL="114300" distR="114300" simplePos="0" relativeHeight="251662336" behindDoc="1" locked="0" layoutInCell="1" allowOverlap="1">
            <wp:simplePos x="0" y="0"/>
            <wp:positionH relativeFrom="column">
              <wp:posOffset>-27940</wp:posOffset>
            </wp:positionH>
            <wp:positionV relativeFrom="paragraph">
              <wp:posOffset>120015</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t>Transplant 1 seedling into each of the 15 flowerpots.</w:t>
      </w:r>
    </w:p>
    <w:p w:rsidR="00C37DBB" w:rsidRDefault="00C37DBB" w:rsidP="00C37DBB">
      <w:pPr>
        <w:pStyle w:val="NoSpacing"/>
        <w:numPr>
          <w:ilvl w:val="0"/>
          <w:numId w:val="2"/>
        </w:numPr>
      </w:pPr>
      <w:r>
        <w:t xml:space="preserve">Water the plants regularly. Observe and record their height each day for at least 3 weeks. </w:t>
      </w:r>
    </w:p>
    <w:p w:rsidR="00C37DBB" w:rsidRDefault="00C37DBB" w:rsidP="00C37DBB">
      <w:pPr>
        <w:pStyle w:val="NoSpacing"/>
        <w:numPr>
          <w:ilvl w:val="0"/>
          <w:numId w:val="2"/>
        </w:numPr>
      </w:pPr>
      <w:r w:rsidRPr="00C37DBB">
        <w:rPr>
          <w:noProof/>
        </w:rPr>
        <w:drawing>
          <wp:anchor distT="0" distB="0" distL="114300" distR="114300" simplePos="0" relativeHeight="251664384" behindDoc="1" locked="0" layoutInCell="1" allowOverlap="1">
            <wp:simplePos x="0" y="0"/>
            <wp:positionH relativeFrom="column">
              <wp:posOffset>-27720</wp:posOffset>
            </wp:positionH>
            <wp:positionV relativeFrom="paragraph">
              <wp:posOffset>37123</wp:posOffset>
            </wp:positionV>
            <wp:extent cx="191965" cy="257908"/>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5" cy="257908"/>
                    </a:xfrm>
                    <a:prstGeom prst="rect">
                      <a:avLst/>
                    </a:prstGeom>
                    <a:noFill/>
                    <a:ln w="9525">
                      <a:noFill/>
                      <a:miter lim="800000"/>
                      <a:headEnd/>
                      <a:tailEnd/>
                    </a:ln>
                  </pic:spPr>
                </pic:pic>
              </a:graphicData>
            </a:graphic>
          </wp:anchor>
        </w:drawing>
      </w:r>
      <w:r>
        <w:t xml:space="preserve">At the end of this time, open the flowerpots. Gently remove the soil from around the roots. Record observations of the root growth for each treatment group. Also note any apparent deficiencies in stem and leaf structure. </w:t>
      </w:r>
    </w:p>
    <w:p w:rsidR="00C37DBB" w:rsidRDefault="00C37DBB" w:rsidP="00C37DBB">
      <w:pPr>
        <w:pStyle w:val="NoSpacing"/>
        <w:ind w:left="720"/>
      </w:pPr>
    </w:p>
    <w:p w:rsidR="00B8111F" w:rsidRDefault="00B8111F" w:rsidP="00C37DBB">
      <w:pPr>
        <w:pStyle w:val="NoSpacing"/>
        <w:ind w:left="720"/>
      </w:pPr>
    </w:p>
    <w:p w:rsidR="00B8111F" w:rsidRDefault="00B8111F" w:rsidP="00C37DBB">
      <w:pPr>
        <w:pStyle w:val="NoSpacing"/>
        <w:ind w:left="720"/>
      </w:pPr>
    </w:p>
    <w:p w:rsidR="00B8111F" w:rsidRDefault="00B8111F" w:rsidP="00C37DBB">
      <w:pPr>
        <w:pStyle w:val="NoSpacing"/>
        <w:ind w:left="720"/>
      </w:pPr>
    </w:p>
    <w:p w:rsidR="00582A28" w:rsidRDefault="00582A28" w:rsidP="00B8111F">
      <w:pPr>
        <w:pStyle w:val="NoSpacing"/>
        <w:tabs>
          <w:tab w:val="left" w:pos="9360"/>
        </w:tabs>
        <w:ind w:firstLine="720"/>
        <w:rPr>
          <w:b/>
        </w:rPr>
      </w:pPr>
    </w:p>
    <w:p w:rsidR="00C37DBB" w:rsidRPr="00441CE5" w:rsidRDefault="00B8111F" w:rsidP="00B8111F">
      <w:pPr>
        <w:pStyle w:val="NoSpacing"/>
        <w:tabs>
          <w:tab w:val="left" w:pos="9360"/>
        </w:tabs>
        <w:ind w:firstLine="720"/>
        <w:rPr>
          <w:b/>
        </w:rPr>
      </w:pPr>
      <w:r>
        <w:rPr>
          <w:b/>
          <w:noProof/>
        </w:rPr>
        <w:lastRenderedPageBreak/>
        <w:drawing>
          <wp:anchor distT="0" distB="0" distL="114300" distR="114300" simplePos="0" relativeHeight="251668480"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BF1454">
        <w:rPr>
          <w:b/>
          <w:noProof/>
        </w:rPr>
        <w:pict>
          <v:shapetype id="_x0000_t32" coordsize="21600,21600" o:spt="32" o:oned="t" path="m,l21600,21600e" filled="f">
            <v:path arrowok="t" fillok="f" o:connecttype="none"/>
            <o:lock v:ext="edit" shapetype="t"/>
          </v:shapetype>
          <v:shape id="_x0000_s1027" type="#_x0000_t32" style="position:absolute;left:0;text-align:left;margin-left:37.6pt;margin-top:2.25pt;width:474.45pt;height:.55pt;z-index:251666432;mso-position-horizontal-relative:text;mso-position-vertical-relative:text" o:connectortype="straight">
            <v:stroke dashstyle="1 1" endcap="round"/>
          </v:shape>
        </w:pict>
      </w:r>
      <w:r w:rsidR="00C37DBB">
        <w:rPr>
          <w:b/>
        </w:rPr>
        <w:t xml:space="preserve">  Observations</w:t>
      </w:r>
      <w:r w:rsidR="00C37DBB">
        <w:rPr>
          <w:b/>
        </w:rPr>
        <w:tab/>
      </w:r>
    </w:p>
    <w:p w:rsidR="00C37DBB" w:rsidRDefault="00441CE5" w:rsidP="00C37DBB">
      <w:pPr>
        <w:pStyle w:val="NoSpacing"/>
        <w:numPr>
          <w:ilvl w:val="0"/>
          <w:numId w:val="4"/>
        </w:numPr>
      </w:pPr>
      <w:r>
        <w:t>Using a periodic table, locate the three elements used in this study (nitrogen, phosphorus, potassium).  Record the atomic number for each mineral below.</w:t>
      </w:r>
    </w:p>
    <w:p w:rsidR="00441CE5" w:rsidRDefault="00441CE5" w:rsidP="00441CE5">
      <w:pPr>
        <w:pStyle w:val="NoSpacing"/>
        <w:ind w:left="720"/>
      </w:pPr>
    </w:p>
    <w:p w:rsidR="00441CE5" w:rsidRDefault="00441CE5" w:rsidP="00441CE5">
      <w:pPr>
        <w:pStyle w:val="NoSpacing"/>
        <w:ind w:left="720"/>
      </w:pPr>
    </w:p>
    <w:p w:rsidR="00441CE5" w:rsidRDefault="00441CE5" w:rsidP="00441CE5">
      <w:pPr>
        <w:pStyle w:val="NoSpacing"/>
        <w:ind w:left="720"/>
      </w:pPr>
    </w:p>
    <w:p w:rsidR="00441CE5" w:rsidRDefault="00441CE5" w:rsidP="00441CE5">
      <w:pPr>
        <w:pStyle w:val="NoSpacing"/>
        <w:ind w:left="720"/>
      </w:pPr>
    </w:p>
    <w:p w:rsidR="00441CE5" w:rsidRDefault="00441CE5" w:rsidP="00441CE5">
      <w:pPr>
        <w:pStyle w:val="NoSpacing"/>
        <w:numPr>
          <w:ilvl w:val="0"/>
          <w:numId w:val="4"/>
        </w:numPr>
      </w:pPr>
      <w:r>
        <w:t xml:space="preserve">Studies show that all elements with an atomic number greater than lithium have been formed by nuclear fusion in stars. Define “nuclear fusion” and determine if the 3 elements used in this lab were formed by nuclear fusion in stars. </w:t>
      </w:r>
    </w:p>
    <w:p w:rsidR="00C37DBB" w:rsidRDefault="00C37DBB" w:rsidP="00C37DBB">
      <w:pPr>
        <w:pStyle w:val="NoSpacing"/>
        <w:ind w:left="1080"/>
      </w:pPr>
    </w:p>
    <w:p w:rsidR="00441CE5" w:rsidRDefault="00441CE5" w:rsidP="00C37DBB">
      <w:pPr>
        <w:pStyle w:val="NoSpacing"/>
        <w:ind w:left="1080"/>
      </w:pPr>
    </w:p>
    <w:p w:rsidR="00C37DBB" w:rsidRDefault="00C37DBB" w:rsidP="00C37DBB">
      <w:pPr>
        <w:pStyle w:val="NoSpacing"/>
        <w:ind w:left="720"/>
      </w:pPr>
    </w:p>
    <w:p w:rsidR="00C37DBB" w:rsidRPr="00044392" w:rsidRDefault="00441CE5" w:rsidP="00441CE5">
      <w:pPr>
        <w:pStyle w:val="NoSpacing"/>
        <w:rPr>
          <w:u w:val="single"/>
        </w:rPr>
      </w:pPr>
      <w:proofErr w:type="gramStart"/>
      <w:r w:rsidRPr="00044392">
        <w:rPr>
          <w:u w:val="single"/>
        </w:rPr>
        <w:t>Table 1.</w:t>
      </w:r>
      <w:proofErr w:type="gramEnd"/>
      <w:r w:rsidRPr="00044392">
        <w:rPr>
          <w:u w:val="single"/>
        </w:rPr>
        <w:t xml:space="preserve"> Daily record of plant heights</w:t>
      </w:r>
      <w:r w:rsidR="00044392" w:rsidRPr="00044392">
        <w:rPr>
          <w:u w:val="single"/>
        </w:rPr>
        <w:t xml:space="preserve"> (cm)</w:t>
      </w:r>
      <w:r w:rsidRPr="00044392">
        <w:rPr>
          <w:u w:val="single"/>
        </w:rPr>
        <w:t xml:space="preserve"> for treatment groups: (A) Sodium Nitrate, (B) Sodium Phosphate, (C) Potassium Sulfate, (D) Commercial Mix and </w:t>
      </w:r>
      <w:r w:rsidR="00520407">
        <w:rPr>
          <w:u w:val="single"/>
        </w:rPr>
        <w:t xml:space="preserve"> for the control group (E).</w:t>
      </w:r>
    </w:p>
    <w:tbl>
      <w:tblPr>
        <w:tblStyle w:val="TableGrid"/>
        <w:tblW w:w="13140" w:type="dxa"/>
        <w:tblInd w:w="108" w:type="dxa"/>
        <w:tblLayout w:type="fixed"/>
        <w:tblLook w:val="04A0"/>
      </w:tblPr>
      <w:tblGrid>
        <w:gridCol w:w="900"/>
        <w:gridCol w:w="816"/>
        <w:gridCol w:w="816"/>
        <w:gridCol w:w="816"/>
        <w:gridCol w:w="816"/>
        <w:gridCol w:w="816"/>
        <w:gridCol w:w="816"/>
        <w:gridCol w:w="816"/>
        <w:gridCol w:w="816"/>
        <w:gridCol w:w="816"/>
        <w:gridCol w:w="816"/>
        <w:gridCol w:w="816"/>
        <w:gridCol w:w="816"/>
        <w:gridCol w:w="816"/>
        <w:gridCol w:w="816"/>
        <w:gridCol w:w="816"/>
      </w:tblGrid>
      <w:tr w:rsidR="00520407" w:rsidTr="00B16712">
        <w:tc>
          <w:tcPr>
            <w:tcW w:w="900" w:type="dxa"/>
          </w:tcPr>
          <w:p w:rsidR="00520407" w:rsidRDefault="00520407" w:rsidP="00C37DBB">
            <w:pPr>
              <w:pStyle w:val="NoSpacing"/>
            </w:pPr>
          </w:p>
        </w:tc>
        <w:tc>
          <w:tcPr>
            <w:tcW w:w="9792" w:type="dxa"/>
            <w:gridSpan w:val="12"/>
            <w:shd w:val="clear" w:color="auto" w:fill="D9D9D9" w:themeFill="background1" w:themeFillShade="D9"/>
          </w:tcPr>
          <w:p w:rsidR="00520407" w:rsidRPr="00520407" w:rsidRDefault="00520407" w:rsidP="00520407">
            <w:pPr>
              <w:pStyle w:val="NoSpacing"/>
              <w:jc w:val="center"/>
              <w:rPr>
                <w:b/>
              </w:rPr>
            </w:pPr>
            <w:r w:rsidRPr="00520407">
              <w:rPr>
                <w:b/>
              </w:rPr>
              <w:t>Treatment Groups</w:t>
            </w:r>
          </w:p>
        </w:tc>
        <w:tc>
          <w:tcPr>
            <w:tcW w:w="2448" w:type="dxa"/>
            <w:gridSpan w:val="3"/>
            <w:shd w:val="clear" w:color="auto" w:fill="D9D9D9" w:themeFill="background1" w:themeFillShade="D9"/>
          </w:tcPr>
          <w:p w:rsidR="00520407" w:rsidRPr="00520407" w:rsidRDefault="00520407" w:rsidP="00520407">
            <w:pPr>
              <w:pStyle w:val="NoSpacing"/>
              <w:jc w:val="center"/>
              <w:rPr>
                <w:b/>
              </w:rPr>
            </w:pPr>
            <w:r w:rsidRPr="00520407">
              <w:rPr>
                <w:b/>
              </w:rPr>
              <w:t>Control Group</w:t>
            </w:r>
          </w:p>
        </w:tc>
      </w:tr>
      <w:tr w:rsidR="00044392" w:rsidTr="00B8111F">
        <w:tc>
          <w:tcPr>
            <w:tcW w:w="900" w:type="dxa"/>
          </w:tcPr>
          <w:p w:rsid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r w:rsidRPr="00044392">
              <w:t>A1</w:t>
            </w:r>
          </w:p>
        </w:tc>
        <w:tc>
          <w:tcPr>
            <w:tcW w:w="816" w:type="dxa"/>
            <w:shd w:val="clear" w:color="auto" w:fill="D9D9D9" w:themeFill="background1" w:themeFillShade="D9"/>
          </w:tcPr>
          <w:p w:rsidR="00044392" w:rsidRPr="00044392" w:rsidRDefault="00044392" w:rsidP="00C37DBB">
            <w:pPr>
              <w:pStyle w:val="NoSpacing"/>
            </w:pPr>
            <w:r w:rsidRPr="00044392">
              <w:t>A2</w:t>
            </w:r>
          </w:p>
        </w:tc>
        <w:tc>
          <w:tcPr>
            <w:tcW w:w="816" w:type="dxa"/>
            <w:shd w:val="clear" w:color="auto" w:fill="D9D9D9" w:themeFill="background1" w:themeFillShade="D9"/>
          </w:tcPr>
          <w:p w:rsidR="00044392" w:rsidRPr="00044392" w:rsidRDefault="00044392" w:rsidP="00C37DBB">
            <w:pPr>
              <w:pStyle w:val="NoSpacing"/>
            </w:pPr>
            <w:r w:rsidRPr="00044392">
              <w:t>A3</w:t>
            </w:r>
          </w:p>
        </w:tc>
        <w:tc>
          <w:tcPr>
            <w:tcW w:w="816" w:type="dxa"/>
          </w:tcPr>
          <w:p w:rsidR="00044392" w:rsidRDefault="00044392" w:rsidP="00C37DBB">
            <w:pPr>
              <w:pStyle w:val="NoSpacing"/>
            </w:pPr>
            <w:r>
              <w:t>B1</w:t>
            </w:r>
          </w:p>
        </w:tc>
        <w:tc>
          <w:tcPr>
            <w:tcW w:w="816" w:type="dxa"/>
          </w:tcPr>
          <w:p w:rsidR="00044392" w:rsidRDefault="00044392" w:rsidP="00C37DBB">
            <w:pPr>
              <w:pStyle w:val="NoSpacing"/>
            </w:pPr>
            <w:r>
              <w:t>B2</w:t>
            </w:r>
          </w:p>
        </w:tc>
        <w:tc>
          <w:tcPr>
            <w:tcW w:w="816" w:type="dxa"/>
          </w:tcPr>
          <w:p w:rsidR="00044392" w:rsidRDefault="00044392" w:rsidP="00C37DBB">
            <w:pPr>
              <w:pStyle w:val="NoSpacing"/>
            </w:pPr>
            <w:r>
              <w:t>B3</w:t>
            </w:r>
          </w:p>
        </w:tc>
        <w:tc>
          <w:tcPr>
            <w:tcW w:w="816" w:type="dxa"/>
            <w:shd w:val="clear" w:color="auto" w:fill="D9D9D9" w:themeFill="background1" w:themeFillShade="D9"/>
          </w:tcPr>
          <w:p w:rsidR="00044392" w:rsidRDefault="00044392" w:rsidP="00C37DBB">
            <w:pPr>
              <w:pStyle w:val="NoSpacing"/>
            </w:pPr>
            <w:r>
              <w:t>C1</w:t>
            </w:r>
          </w:p>
        </w:tc>
        <w:tc>
          <w:tcPr>
            <w:tcW w:w="816" w:type="dxa"/>
            <w:shd w:val="clear" w:color="auto" w:fill="D9D9D9" w:themeFill="background1" w:themeFillShade="D9"/>
          </w:tcPr>
          <w:p w:rsidR="00044392" w:rsidRDefault="00044392" w:rsidP="00C37DBB">
            <w:pPr>
              <w:pStyle w:val="NoSpacing"/>
            </w:pPr>
            <w:r>
              <w:t>C2</w:t>
            </w:r>
          </w:p>
        </w:tc>
        <w:tc>
          <w:tcPr>
            <w:tcW w:w="816" w:type="dxa"/>
            <w:shd w:val="clear" w:color="auto" w:fill="D9D9D9" w:themeFill="background1" w:themeFillShade="D9"/>
          </w:tcPr>
          <w:p w:rsidR="00044392" w:rsidRDefault="00044392" w:rsidP="00C37DBB">
            <w:pPr>
              <w:pStyle w:val="NoSpacing"/>
            </w:pPr>
            <w:r>
              <w:t>C3</w:t>
            </w:r>
          </w:p>
        </w:tc>
        <w:tc>
          <w:tcPr>
            <w:tcW w:w="816" w:type="dxa"/>
          </w:tcPr>
          <w:p w:rsidR="00044392" w:rsidRDefault="00044392" w:rsidP="00C37DBB">
            <w:pPr>
              <w:pStyle w:val="NoSpacing"/>
            </w:pPr>
            <w:r>
              <w:t>D1</w:t>
            </w:r>
          </w:p>
        </w:tc>
        <w:tc>
          <w:tcPr>
            <w:tcW w:w="816" w:type="dxa"/>
          </w:tcPr>
          <w:p w:rsidR="00044392" w:rsidRDefault="00044392" w:rsidP="00C37DBB">
            <w:pPr>
              <w:pStyle w:val="NoSpacing"/>
            </w:pPr>
            <w:r>
              <w:t>D2</w:t>
            </w:r>
          </w:p>
        </w:tc>
        <w:tc>
          <w:tcPr>
            <w:tcW w:w="816" w:type="dxa"/>
          </w:tcPr>
          <w:p w:rsidR="00044392" w:rsidRDefault="00044392" w:rsidP="00C37DBB">
            <w:pPr>
              <w:pStyle w:val="NoSpacing"/>
            </w:pPr>
            <w:r>
              <w:t>D3</w:t>
            </w:r>
          </w:p>
        </w:tc>
        <w:tc>
          <w:tcPr>
            <w:tcW w:w="816" w:type="dxa"/>
            <w:shd w:val="clear" w:color="auto" w:fill="D9D9D9" w:themeFill="background1" w:themeFillShade="D9"/>
          </w:tcPr>
          <w:p w:rsidR="00044392" w:rsidRDefault="00044392" w:rsidP="00C37DBB">
            <w:pPr>
              <w:pStyle w:val="NoSpacing"/>
            </w:pPr>
            <w:r>
              <w:t>E1</w:t>
            </w:r>
          </w:p>
        </w:tc>
        <w:tc>
          <w:tcPr>
            <w:tcW w:w="816" w:type="dxa"/>
            <w:shd w:val="clear" w:color="auto" w:fill="D9D9D9" w:themeFill="background1" w:themeFillShade="D9"/>
          </w:tcPr>
          <w:p w:rsidR="00044392" w:rsidRDefault="00044392" w:rsidP="00C37DBB">
            <w:pPr>
              <w:pStyle w:val="NoSpacing"/>
            </w:pPr>
            <w:r>
              <w:t>E2</w:t>
            </w:r>
          </w:p>
        </w:tc>
        <w:tc>
          <w:tcPr>
            <w:tcW w:w="816" w:type="dxa"/>
            <w:shd w:val="clear" w:color="auto" w:fill="D9D9D9" w:themeFill="background1" w:themeFillShade="D9"/>
          </w:tcPr>
          <w:p w:rsidR="00044392" w:rsidRDefault="00044392" w:rsidP="00C37DBB">
            <w:pPr>
              <w:pStyle w:val="NoSpacing"/>
            </w:pPr>
            <w:r>
              <w:t>E3</w:t>
            </w:r>
          </w:p>
        </w:tc>
      </w:tr>
      <w:tr w:rsidR="00044392" w:rsidTr="000E558E">
        <w:trPr>
          <w:trHeight w:val="269"/>
        </w:trPr>
        <w:tc>
          <w:tcPr>
            <w:tcW w:w="900" w:type="dxa"/>
          </w:tcPr>
          <w:p w:rsidR="00044392" w:rsidRDefault="00044392" w:rsidP="00044392">
            <w:pPr>
              <w:pStyle w:val="NoSpacing"/>
              <w:jc w:val="center"/>
            </w:pPr>
            <w:r>
              <w:t>Day 1</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2</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3</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4</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5</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6</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7</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8</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9</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10</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11</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12</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13</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14</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0E558E">
        <w:trPr>
          <w:trHeight w:val="269"/>
        </w:trPr>
        <w:tc>
          <w:tcPr>
            <w:tcW w:w="900" w:type="dxa"/>
          </w:tcPr>
          <w:p w:rsidR="00044392" w:rsidRDefault="00044392" w:rsidP="00044392">
            <w:pPr>
              <w:pStyle w:val="NoSpacing"/>
              <w:jc w:val="center"/>
            </w:pPr>
            <w:r>
              <w:t>Day 15</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r w:rsidR="00044392" w:rsidTr="00B8111F">
        <w:trPr>
          <w:trHeight w:val="152"/>
        </w:trPr>
        <w:tc>
          <w:tcPr>
            <w:tcW w:w="900" w:type="dxa"/>
          </w:tcPr>
          <w:p w:rsidR="00044392" w:rsidRPr="00044392" w:rsidRDefault="00044392" w:rsidP="00044392">
            <w:pPr>
              <w:pStyle w:val="NoSpacing"/>
              <w:jc w:val="center"/>
            </w:pPr>
            <w:r w:rsidRPr="00044392">
              <w:t>Tota</w:t>
            </w:r>
            <w:r>
              <w:t xml:space="preserve">l </w:t>
            </w:r>
            <w:r w:rsidRPr="00044392">
              <w:t>Growth</w:t>
            </w: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shd w:val="clear" w:color="auto" w:fill="D9D9D9" w:themeFill="background1" w:themeFillShade="D9"/>
          </w:tcPr>
          <w:p w:rsidR="00044392" w:rsidRP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c>
          <w:tcPr>
            <w:tcW w:w="816" w:type="dxa"/>
            <w:shd w:val="clear" w:color="auto" w:fill="D9D9D9" w:themeFill="background1" w:themeFillShade="D9"/>
          </w:tcPr>
          <w:p w:rsidR="00044392" w:rsidRDefault="00044392" w:rsidP="00C37DBB">
            <w:pPr>
              <w:pStyle w:val="NoSpacing"/>
            </w:pPr>
          </w:p>
        </w:tc>
      </w:tr>
    </w:tbl>
    <w:p w:rsidR="00044392" w:rsidRDefault="00044392" w:rsidP="00044392">
      <w:pPr>
        <w:pStyle w:val="NoSpacing"/>
        <w:numPr>
          <w:ilvl w:val="0"/>
          <w:numId w:val="4"/>
        </w:numPr>
      </w:pPr>
      <w:r>
        <w:lastRenderedPageBreak/>
        <w:t xml:space="preserve">For each plant, write down the height at day 15, and subtract the height at day 1. This is your total growth for each plant. Put this number in the bottom line of the table above. </w:t>
      </w:r>
    </w:p>
    <w:p w:rsidR="00C37DBB" w:rsidRDefault="00C37DBB" w:rsidP="00C37DBB">
      <w:pPr>
        <w:pStyle w:val="NoSpacing"/>
        <w:ind w:left="720"/>
      </w:pPr>
    </w:p>
    <w:p w:rsidR="00C37DBB" w:rsidRDefault="00C37DBB" w:rsidP="00C37DBB">
      <w:pPr>
        <w:pStyle w:val="NoSpacing"/>
        <w:ind w:left="720"/>
      </w:pPr>
    </w:p>
    <w:p w:rsidR="00044392" w:rsidRDefault="00044392" w:rsidP="00C37DBB">
      <w:pPr>
        <w:pStyle w:val="NoSpacing"/>
        <w:ind w:left="720"/>
      </w:pPr>
    </w:p>
    <w:p w:rsidR="00044392" w:rsidRDefault="00044392" w:rsidP="00C37DBB">
      <w:pPr>
        <w:pStyle w:val="NoSpacing"/>
        <w:ind w:left="720"/>
      </w:pPr>
    </w:p>
    <w:p w:rsidR="00044392" w:rsidRDefault="00044392" w:rsidP="00C37DBB">
      <w:pPr>
        <w:pStyle w:val="NoSpacing"/>
        <w:ind w:left="720"/>
      </w:pPr>
    </w:p>
    <w:p w:rsidR="00044392" w:rsidRDefault="00044392" w:rsidP="00C37DBB">
      <w:pPr>
        <w:pStyle w:val="NoSpacing"/>
        <w:ind w:left="720"/>
      </w:pPr>
    </w:p>
    <w:p w:rsidR="00C37DBB" w:rsidRDefault="00C37DBB" w:rsidP="00C37DBB">
      <w:pPr>
        <w:pStyle w:val="NoSpacing"/>
        <w:ind w:left="720"/>
      </w:pPr>
    </w:p>
    <w:p w:rsidR="00044392" w:rsidRDefault="00044392" w:rsidP="00044392">
      <w:pPr>
        <w:pStyle w:val="NoSpacing"/>
        <w:numPr>
          <w:ilvl w:val="0"/>
          <w:numId w:val="4"/>
        </w:numPr>
      </w:pPr>
      <w:r>
        <w:t>Calculate the average growth for each treatment group</w:t>
      </w:r>
      <w:r w:rsidR="00520407">
        <w:t xml:space="preserve"> and for the control group</w:t>
      </w:r>
      <w:r>
        <w:t xml:space="preserve">. For each letter group, add the total growth numbers together and divide by the number of plants used in that group. For example, to find the average growth for plants treated with sodium nitrate (A), add the total growth for A1+A2+A3, and divide by 3.  Write the averages below. </w:t>
      </w: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pPr>
    </w:p>
    <w:p w:rsidR="00044392" w:rsidRDefault="00044392" w:rsidP="00044392">
      <w:pPr>
        <w:pStyle w:val="NoSpacing"/>
        <w:numPr>
          <w:ilvl w:val="0"/>
          <w:numId w:val="4"/>
        </w:numPr>
      </w:pPr>
      <w:r>
        <w:t xml:space="preserve">Root growth observations. After removing the soil </w:t>
      </w:r>
      <w:r w:rsidR="00591349">
        <w:t>from your</w:t>
      </w:r>
      <w:r>
        <w:t xml:space="preserve"> samples, record your observations for each treatment group</w:t>
      </w:r>
      <w:r w:rsidR="00520407">
        <w:t xml:space="preserve"> and for the control group</w:t>
      </w:r>
      <w:r>
        <w:t xml:space="preserve"> below. Be specific about details such as length, thickness, and amount of roots.</w:t>
      </w:r>
    </w:p>
    <w:p w:rsidR="00044392" w:rsidRDefault="00044392" w:rsidP="00044392">
      <w:pPr>
        <w:pStyle w:val="NoSpacing"/>
        <w:ind w:left="720"/>
      </w:pPr>
    </w:p>
    <w:p w:rsidR="000E558E" w:rsidRDefault="000E558E" w:rsidP="00044392">
      <w:pPr>
        <w:pStyle w:val="NoSpacing"/>
        <w:ind w:left="720"/>
      </w:pPr>
    </w:p>
    <w:p w:rsidR="000E558E" w:rsidRDefault="000E558E" w:rsidP="00044392">
      <w:pPr>
        <w:pStyle w:val="NoSpacing"/>
        <w:ind w:left="720"/>
      </w:pPr>
    </w:p>
    <w:p w:rsidR="000E558E" w:rsidRDefault="000E558E" w:rsidP="00044392">
      <w:pPr>
        <w:pStyle w:val="NoSpacing"/>
        <w:ind w:left="720"/>
      </w:pPr>
    </w:p>
    <w:p w:rsidR="000E558E" w:rsidRDefault="000E558E" w:rsidP="00044392">
      <w:pPr>
        <w:pStyle w:val="NoSpacing"/>
        <w:ind w:left="720"/>
      </w:pPr>
    </w:p>
    <w:p w:rsidR="000E558E" w:rsidRDefault="000E558E" w:rsidP="00044392">
      <w:pPr>
        <w:pStyle w:val="NoSpacing"/>
        <w:ind w:left="720"/>
      </w:pPr>
    </w:p>
    <w:p w:rsidR="00044392" w:rsidRDefault="00044392" w:rsidP="00044392">
      <w:pPr>
        <w:pStyle w:val="NoSpacing"/>
        <w:ind w:left="720"/>
        <w:rPr>
          <w:u w:val="single"/>
        </w:rPr>
      </w:pPr>
      <w:proofErr w:type="gramStart"/>
      <w:r w:rsidRPr="00044392">
        <w:rPr>
          <w:u w:val="single"/>
        </w:rPr>
        <w:lastRenderedPageBreak/>
        <w:t>Table 2.</w:t>
      </w:r>
      <w:proofErr w:type="gramEnd"/>
      <w:r w:rsidRPr="00044392">
        <w:rPr>
          <w:u w:val="single"/>
        </w:rPr>
        <w:t xml:space="preserve"> </w:t>
      </w:r>
      <w:proofErr w:type="gramStart"/>
      <w:r w:rsidRPr="00044392">
        <w:rPr>
          <w:u w:val="single"/>
        </w:rPr>
        <w:t>Observations of root growth by treatment group</w:t>
      </w:r>
      <w:r w:rsidR="00520407">
        <w:rPr>
          <w:u w:val="single"/>
        </w:rPr>
        <w:t xml:space="preserve"> and control group</w:t>
      </w:r>
      <w:r w:rsidRPr="00044392">
        <w:rPr>
          <w:u w:val="single"/>
        </w:rPr>
        <w:t>.</w:t>
      </w:r>
      <w:proofErr w:type="gramEnd"/>
    </w:p>
    <w:tbl>
      <w:tblPr>
        <w:tblStyle w:val="TableGrid"/>
        <w:tblW w:w="0" w:type="auto"/>
        <w:tblInd w:w="720" w:type="dxa"/>
        <w:tblLayout w:type="fixed"/>
        <w:tblLook w:val="04A0"/>
      </w:tblPr>
      <w:tblGrid>
        <w:gridCol w:w="2469"/>
        <w:gridCol w:w="2470"/>
        <w:gridCol w:w="2469"/>
        <w:gridCol w:w="2470"/>
        <w:gridCol w:w="2470"/>
      </w:tblGrid>
      <w:tr w:rsidR="00D90083" w:rsidTr="000E558E">
        <w:tc>
          <w:tcPr>
            <w:tcW w:w="2469" w:type="dxa"/>
          </w:tcPr>
          <w:p w:rsidR="00D90083" w:rsidRPr="00D90083" w:rsidRDefault="00D90083" w:rsidP="00D90083">
            <w:pPr>
              <w:pStyle w:val="NoSpacing"/>
              <w:numPr>
                <w:ilvl w:val="0"/>
                <w:numId w:val="5"/>
              </w:numPr>
              <w:jc w:val="center"/>
            </w:pPr>
            <w:r w:rsidRPr="00D90083">
              <w:t xml:space="preserve">Sodium </w:t>
            </w:r>
            <w:r>
              <w:t>Nitrate</w:t>
            </w:r>
          </w:p>
        </w:tc>
        <w:tc>
          <w:tcPr>
            <w:tcW w:w="2470" w:type="dxa"/>
          </w:tcPr>
          <w:p w:rsidR="00D90083" w:rsidRPr="00D90083" w:rsidRDefault="00D90083" w:rsidP="00D90083">
            <w:pPr>
              <w:pStyle w:val="NoSpacing"/>
              <w:numPr>
                <w:ilvl w:val="0"/>
                <w:numId w:val="5"/>
              </w:numPr>
              <w:ind w:left="299"/>
              <w:jc w:val="center"/>
            </w:pPr>
            <w:r>
              <w:t>Sodium Phosphate</w:t>
            </w:r>
          </w:p>
        </w:tc>
        <w:tc>
          <w:tcPr>
            <w:tcW w:w="2469" w:type="dxa"/>
          </w:tcPr>
          <w:p w:rsidR="00D90083" w:rsidRPr="00D90083" w:rsidRDefault="00D90083" w:rsidP="00D90083">
            <w:pPr>
              <w:pStyle w:val="NoSpacing"/>
              <w:jc w:val="center"/>
            </w:pPr>
            <w:r>
              <w:t>(C) Potassium Sulfate</w:t>
            </w:r>
          </w:p>
        </w:tc>
        <w:tc>
          <w:tcPr>
            <w:tcW w:w="2470" w:type="dxa"/>
          </w:tcPr>
          <w:p w:rsidR="00D90083" w:rsidRPr="00D90083" w:rsidRDefault="00D90083" w:rsidP="00D90083">
            <w:pPr>
              <w:pStyle w:val="NoSpacing"/>
              <w:jc w:val="center"/>
            </w:pPr>
            <w:r w:rsidRPr="00D90083">
              <w:t>(D) Commercial Mix</w:t>
            </w:r>
          </w:p>
        </w:tc>
        <w:tc>
          <w:tcPr>
            <w:tcW w:w="2470" w:type="dxa"/>
          </w:tcPr>
          <w:p w:rsidR="00D90083" w:rsidRPr="00D90083" w:rsidRDefault="00D90083" w:rsidP="00D90083">
            <w:pPr>
              <w:pStyle w:val="NoSpacing"/>
              <w:jc w:val="center"/>
            </w:pPr>
            <w:r w:rsidRPr="00D90083">
              <w:t>(E) Control</w:t>
            </w:r>
          </w:p>
        </w:tc>
      </w:tr>
      <w:tr w:rsidR="00D90083" w:rsidTr="000E558E">
        <w:tc>
          <w:tcPr>
            <w:tcW w:w="2469" w:type="dxa"/>
          </w:tcPr>
          <w:p w:rsidR="00D90083" w:rsidRDefault="00D90083" w:rsidP="00044392">
            <w:pPr>
              <w:pStyle w:val="NoSpacing"/>
              <w:rPr>
                <w:u w:val="single"/>
              </w:rPr>
            </w:pPr>
          </w:p>
        </w:tc>
        <w:tc>
          <w:tcPr>
            <w:tcW w:w="2470" w:type="dxa"/>
          </w:tcPr>
          <w:p w:rsidR="00D90083" w:rsidRDefault="00D90083" w:rsidP="00044392">
            <w:pPr>
              <w:pStyle w:val="NoSpacing"/>
              <w:rPr>
                <w:u w:val="single"/>
              </w:rPr>
            </w:pPr>
          </w:p>
        </w:tc>
        <w:tc>
          <w:tcPr>
            <w:tcW w:w="2469" w:type="dxa"/>
          </w:tcPr>
          <w:p w:rsidR="00D90083" w:rsidRDefault="00D90083" w:rsidP="00044392">
            <w:pPr>
              <w:pStyle w:val="NoSpacing"/>
              <w:rPr>
                <w:u w:val="single"/>
              </w:rPr>
            </w:pPr>
          </w:p>
        </w:tc>
        <w:tc>
          <w:tcPr>
            <w:tcW w:w="2470" w:type="dxa"/>
          </w:tcPr>
          <w:p w:rsidR="00D90083" w:rsidRDefault="00D90083" w:rsidP="00044392">
            <w:pPr>
              <w:pStyle w:val="NoSpacing"/>
              <w:rPr>
                <w:u w:val="single"/>
              </w:rPr>
            </w:pPr>
          </w:p>
        </w:tc>
        <w:tc>
          <w:tcPr>
            <w:tcW w:w="2470" w:type="dxa"/>
          </w:tcPr>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p w:rsidR="00D90083" w:rsidRDefault="00D90083" w:rsidP="00044392">
            <w:pPr>
              <w:pStyle w:val="NoSpacing"/>
              <w:rPr>
                <w:u w:val="single"/>
              </w:rPr>
            </w:pPr>
          </w:p>
        </w:tc>
      </w:tr>
    </w:tbl>
    <w:p w:rsidR="00044392" w:rsidRPr="00044392" w:rsidRDefault="00044392" w:rsidP="00044392">
      <w:pPr>
        <w:pStyle w:val="NoSpacing"/>
        <w:ind w:left="720"/>
        <w:rPr>
          <w:u w:val="single"/>
        </w:rPr>
      </w:pPr>
    </w:p>
    <w:p w:rsidR="00044392" w:rsidRDefault="00D90083" w:rsidP="00D90083">
      <w:pPr>
        <w:pStyle w:val="NoSpacing"/>
        <w:numPr>
          <w:ilvl w:val="0"/>
          <w:numId w:val="4"/>
        </w:numPr>
      </w:pPr>
      <w:r>
        <w:t>Based on your observations, describe your results and how this information could help plant producers.</w:t>
      </w:r>
    </w:p>
    <w:p w:rsidR="00D90083" w:rsidRDefault="00D90083" w:rsidP="00D90083">
      <w:pPr>
        <w:pStyle w:val="NoSpacing"/>
      </w:pPr>
    </w:p>
    <w:p w:rsidR="00D90083" w:rsidRDefault="00D90083" w:rsidP="00D90083">
      <w:pPr>
        <w:pStyle w:val="NoSpacing"/>
      </w:pPr>
    </w:p>
    <w:p w:rsidR="00D90083" w:rsidRDefault="00D90083" w:rsidP="00D90083">
      <w:pPr>
        <w:pStyle w:val="NoSpacing"/>
      </w:pPr>
    </w:p>
    <w:p w:rsidR="00D90083" w:rsidRDefault="00D90083" w:rsidP="00D90083">
      <w:pPr>
        <w:pStyle w:val="NoSpacing"/>
      </w:pPr>
    </w:p>
    <w:p w:rsidR="00D90083" w:rsidRDefault="00D90083" w:rsidP="00D90083">
      <w:pPr>
        <w:pStyle w:val="NoSpacing"/>
      </w:pPr>
    </w:p>
    <w:p w:rsidR="00D90083" w:rsidRDefault="00D90083" w:rsidP="00D90083">
      <w:pPr>
        <w:pStyle w:val="NoSpacing"/>
      </w:pPr>
    </w:p>
    <w:p w:rsidR="00D90083" w:rsidRDefault="00D90083" w:rsidP="00D90083">
      <w:pPr>
        <w:pStyle w:val="NoSpacing"/>
      </w:pPr>
    </w:p>
    <w:p w:rsidR="00B60D5E" w:rsidRDefault="00B60D5E" w:rsidP="00D90083">
      <w:pPr>
        <w:pStyle w:val="NoSpacing"/>
      </w:pPr>
    </w:p>
    <w:p w:rsidR="00B60D5E" w:rsidRDefault="00B60D5E" w:rsidP="00D90083">
      <w:pPr>
        <w:pStyle w:val="NoSpacing"/>
      </w:pPr>
    </w:p>
    <w:p w:rsidR="00B60D5E" w:rsidRDefault="00B60D5E" w:rsidP="00D90083">
      <w:pPr>
        <w:pStyle w:val="NoSpacing"/>
      </w:pPr>
    </w:p>
    <w:p w:rsidR="00B60D5E" w:rsidRDefault="00B60D5E" w:rsidP="00D90083">
      <w:pPr>
        <w:pStyle w:val="NoSpacing"/>
      </w:pPr>
    </w:p>
    <w:p w:rsidR="00B60D5E" w:rsidRDefault="00B60D5E" w:rsidP="00D90083">
      <w:pPr>
        <w:pStyle w:val="NoSpacing"/>
      </w:pPr>
    </w:p>
    <w:p w:rsidR="00CE2087" w:rsidRDefault="00CE2087" w:rsidP="00D90083">
      <w:pPr>
        <w:pStyle w:val="NoSpacing"/>
      </w:pPr>
    </w:p>
    <w:p w:rsidR="00CE2087" w:rsidRDefault="00CE2087" w:rsidP="00D90083">
      <w:pPr>
        <w:pStyle w:val="NoSpacing"/>
      </w:pPr>
    </w:p>
    <w:p w:rsidR="00B92A5C" w:rsidRDefault="00B92A5C" w:rsidP="00D90083">
      <w:pPr>
        <w:pStyle w:val="NoSpacing"/>
      </w:pPr>
    </w:p>
    <w:sectPr w:rsidR="00B92A5C" w:rsidSect="00B8111F">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5AC" w:rsidRDefault="008355AC" w:rsidP="00AD2108">
      <w:pPr>
        <w:spacing w:after="0" w:line="240" w:lineRule="auto"/>
      </w:pPr>
      <w:r>
        <w:separator/>
      </w:r>
    </w:p>
  </w:endnote>
  <w:endnote w:type="continuationSeparator" w:id="1">
    <w:p w:rsidR="008355AC" w:rsidRDefault="008355AC" w:rsidP="00AD2108">
      <w:pPr>
        <w:spacing w:after="0" w:line="240" w:lineRule="auto"/>
      </w:pPr>
      <w:r>
        <w:continuationSeparator/>
      </w:r>
    </w:p>
  </w:endnote>
  <w:endnote w:id="2">
    <w:p w:rsidR="00AD2108" w:rsidRDefault="00AD2108">
      <w:pPr>
        <w:pStyle w:val="EndnoteText"/>
      </w:pPr>
      <w:r>
        <w:rPr>
          <w:rStyle w:val="EndnoteReference"/>
        </w:rPr>
        <w:endnoteRef/>
      </w:r>
      <w:r>
        <w:t xml:space="preserve"> </w:t>
      </w:r>
      <w:r w:rsidR="00591824" w:rsidRPr="00B92A5C">
        <w:rPr>
          <w:rFonts w:ascii="Times New Roman" w:hAnsi="Times New Roman" w:cs="Times New Roman"/>
          <w:i/>
          <w:iCs/>
          <w:sz w:val="16"/>
          <w:szCs w:val="16"/>
        </w:rPr>
        <w:t>Ecology Investigation: Effects of Minerals on Plant Growth</w:t>
      </w:r>
      <w:r w:rsidR="00591824" w:rsidRPr="00B92A5C">
        <w:rPr>
          <w:rFonts w:ascii="Times New Roman" w:hAnsi="Times New Roman" w:cs="Times New Roman"/>
          <w:sz w:val="16"/>
          <w:szCs w:val="16"/>
        </w:rPr>
        <w:t>. Boston, Massachusetts: Prentice Hall, Inc.</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4D" w:rsidRDefault="003F0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B60D5E" w:rsidTr="001C2D10">
      <w:tc>
        <w:tcPr>
          <w:tcW w:w="918" w:type="dxa"/>
          <w:tcBorders>
            <w:top w:val="single" w:sz="18" w:space="0" w:color="808080" w:themeColor="background1" w:themeShade="80"/>
            <w:left w:val="nil"/>
            <w:bottom w:val="nil"/>
            <w:right w:val="single" w:sz="18" w:space="0" w:color="808080" w:themeColor="background1" w:themeShade="80"/>
          </w:tcBorders>
          <w:hideMark/>
        </w:tcPr>
        <w:p w:rsidR="00B60D5E" w:rsidRPr="003F044D" w:rsidRDefault="00BF1454" w:rsidP="001C2D10">
          <w:pPr>
            <w:pStyle w:val="Footer"/>
            <w:spacing w:line="276" w:lineRule="auto"/>
            <w:jc w:val="right"/>
            <w:rPr>
              <w:b/>
              <w:color w:val="4F81BD" w:themeColor="accent1"/>
              <w:sz w:val="32"/>
              <w:szCs w:val="32"/>
            </w:rPr>
          </w:pPr>
          <w:r w:rsidRPr="003F044D">
            <w:rPr>
              <w:sz w:val="32"/>
              <w:szCs w:val="32"/>
            </w:rPr>
            <w:fldChar w:fldCharType="begin"/>
          </w:r>
          <w:r w:rsidR="00B60D5E" w:rsidRPr="003F044D">
            <w:rPr>
              <w:sz w:val="32"/>
              <w:szCs w:val="32"/>
            </w:rPr>
            <w:instrText xml:space="preserve"> PAGE   \* MERGEFORMAT </w:instrText>
          </w:r>
          <w:r w:rsidRPr="003F044D">
            <w:rPr>
              <w:sz w:val="32"/>
              <w:szCs w:val="32"/>
            </w:rPr>
            <w:fldChar w:fldCharType="separate"/>
          </w:r>
          <w:r w:rsidR="003F044D" w:rsidRPr="003F044D">
            <w:rPr>
              <w:b/>
              <w:noProof/>
              <w:color w:val="4F81BD" w:themeColor="accent1"/>
              <w:sz w:val="32"/>
              <w:szCs w:val="32"/>
            </w:rPr>
            <w:t>1</w:t>
          </w:r>
          <w:r w:rsidRPr="003F044D">
            <w:rPr>
              <w:sz w:val="32"/>
              <w:szCs w:val="32"/>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hideMark/>
        </w:tcPr>
        <w:p w:rsidR="00B60D5E" w:rsidRPr="003F044D" w:rsidRDefault="00EC6CEA" w:rsidP="001C2D10">
          <w:pPr>
            <w:pStyle w:val="Footer"/>
            <w:spacing w:line="276" w:lineRule="auto"/>
            <w:jc w:val="right"/>
            <w:rPr>
              <w:b/>
              <w:sz w:val="32"/>
              <w:szCs w:val="32"/>
            </w:rPr>
          </w:pPr>
          <w:r w:rsidRPr="003F044D">
            <w:rPr>
              <w:b/>
              <w:sz w:val="32"/>
              <w:szCs w:val="32"/>
            </w:rPr>
            <w:t>LAB A-4</w:t>
          </w:r>
        </w:p>
      </w:tc>
    </w:tr>
  </w:tbl>
  <w:p w:rsidR="00B60D5E" w:rsidRDefault="00B60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4D" w:rsidRDefault="003F0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5AC" w:rsidRDefault="008355AC" w:rsidP="00AD2108">
      <w:pPr>
        <w:spacing w:after="0" w:line="240" w:lineRule="auto"/>
      </w:pPr>
      <w:r>
        <w:separator/>
      </w:r>
    </w:p>
  </w:footnote>
  <w:footnote w:type="continuationSeparator" w:id="1">
    <w:p w:rsidR="008355AC" w:rsidRDefault="008355AC" w:rsidP="00AD2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4D" w:rsidRDefault="003F0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4D" w:rsidRDefault="003F04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4D" w:rsidRDefault="003F0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6E0D"/>
    <w:multiLevelType w:val="hybridMultilevel"/>
    <w:tmpl w:val="A19EB964"/>
    <w:lvl w:ilvl="0" w:tplc="09009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05483"/>
    <w:multiLevelType w:val="hybridMultilevel"/>
    <w:tmpl w:val="77A2F78A"/>
    <w:lvl w:ilvl="0" w:tplc="8990D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D15E6"/>
    <w:multiLevelType w:val="hybridMultilevel"/>
    <w:tmpl w:val="569AA7C4"/>
    <w:lvl w:ilvl="0" w:tplc="79DE9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D5326A"/>
    <w:multiLevelType w:val="hybridMultilevel"/>
    <w:tmpl w:val="220E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F294F"/>
    <w:multiLevelType w:val="hybridMultilevel"/>
    <w:tmpl w:val="F43670C0"/>
    <w:lvl w:ilvl="0" w:tplc="CFA0A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2108"/>
    <w:rsid w:val="00044392"/>
    <w:rsid w:val="00065348"/>
    <w:rsid w:val="000E558E"/>
    <w:rsid w:val="00153580"/>
    <w:rsid w:val="00196A69"/>
    <w:rsid w:val="001C2433"/>
    <w:rsid w:val="00271DF7"/>
    <w:rsid w:val="00291686"/>
    <w:rsid w:val="002D6BE0"/>
    <w:rsid w:val="003F044D"/>
    <w:rsid w:val="0041733F"/>
    <w:rsid w:val="00441CE5"/>
    <w:rsid w:val="00520407"/>
    <w:rsid w:val="00571581"/>
    <w:rsid w:val="00572D10"/>
    <w:rsid w:val="00582A28"/>
    <w:rsid w:val="00591349"/>
    <w:rsid w:val="00591824"/>
    <w:rsid w:val="005D7486"/>
    <w:rsid w:val="006012D2"/>
    <w:rsid w:val="0063025C"/>
    <w:rsid w:val="006936ED"/>
    <w:rsid w:val="006B290F"/>
    <w:rsid w:val="006B46F9"/>
    <w:rsid w:val="007D2E34"/>
    <w:rsid w:val="00821E93"/>
    <w:rsid w:val="008355AC"/>
    <w:rsid w:val="00852F0F"/>
    <w:rsid w:val="008C3ABC"/>
    <w:rsid w:val="009C1F00"/>
    <w:rsid w:val="009D1B6E"/>
    <w:rsid w:val="00A6598D"/>
    <w:rsid w:val="00AB31A4"/>
    <w:rsid w:val="00AD0809"/>
    <w:rsid w:val="00AD2108"/>
    <w:rsid w:val="00AE581D"/>
    <w:rsid w:val="00AF677C"/>
    <w:rsid w:val="00B22EDF"/>
    <w:rsid w:val="00B60D5E"/>
    <w:rsid w:val="00B66CCA"/>
    <w:rsid w:val="00B8111F"/>
    <w:rsid w:val="00B92A5C"/>
    <w:rsid w:val="00BC7793"/>
    <w:rsid w:val="00BF1454"/>
    <w:rsid w:val="00C2011D"/>
    <w:rsid w:val="00C37DBB"/>
    <w:rsid w:val="00C5532B"/>
    <w:rsid w:val="00C75490"/>
    <w:rsid w:val="00C77279"/>
    <w:rsid w:val="00CE2087"/>
    <w:rsid w:val="00CF63FE"/>
    <w:rsid w:val="00D13F3E"/>
    <w:rsid w:val="00D65FAD"/>
    <w:rsid w:val="00D90083"/>
    <w:rsid w:val="00DA5CC1"/>
    <w:rsid w:val="00EA71DA"/>
    <w:rsid w:val="00EC6CEA"/>
    <w:rsid w:val="00F506F2"/>
    <w:rsid w:val="00FF6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08"/>
  </w:style>
  <w:style w:type="paragraph" w:styleId="Heading1">
    <w:name w:val="heading 1"/>
    <w:basedOn w:val="Normal"/>
    <w:next w:val="Normal"/>
    <w:link w:val="Heading1Char"/>
    <w:uiPriority w:val="9"/>
    <w:qFormat/>
    <w:rsid w:val="00AD2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1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2108"/>
    <w:pPr>
      <w:spacing w:after="0" w:line="240" w:lineRule="auto"/>
    </w:pPr>
  </w:style>
  <w:style w:type="paragraph" w:styleId="EndnoteText">
    <w:name w:val="endnote text"/>
    <w:basedOn w:val="Normal"/>
    <w:link w:val="EndnoteTextChar"/>
    <w:uiPriority w:val="99"/>
    <w:semiHidden/>
    <w:unhideWhenUsed/>
    <w:rsid w:val="00AD21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08"/>
    <w:rPr>
      <w:sz w:val="20"/>
      <w:szCs w:val="20"/>
    </w:rPr>
  </w:style>
  <w:style w:type="character" w:styleId="EndnoteReference">
    <w:name w:val="endnote reference"/>
    <w:basedOn w:val="DefaultParagraphFont"/>
    <w:uiPriority w:val="99"/>
    <w:semiHidden/>
    <w:unhideWhenUsed/>
    <w:rsid w:val="00AD2108"/>
    <w:rPr>
      <w:vertAlign w:val="superscript"/>
    </w:rPr>
  </w:style>
  <w:style w:type="table" w:styleId="TableGrid">
    <w:name w:val="Table Grid"/>
    <w:basedOn w:val="TableNormal"/>
    <w:uiPriority w:val="59"/>
    <w:rsid w:val="00441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0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D5E"/>
  </w:style>
  <w:style w:type="paragraph" w:styleId="Footer">
    <w:name w:val="footer"/>
    <w:basedOn w:val="Normal"/>
    <w:link w:val="FooterChar"/>
    <w:uiPriority w:val="99"/>
    <w:unhideWhenUsed/>
    <w:rsid w:val="00B6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D5E"/>
  </w:style>
  <w:style w:type="paragraph" w:styleId="BalloonText">
    <w:name w:val="Balloon Text"/>
    <w:basedOn w:val="Normal"/>
    <w:link w:val="BalloonTextChar"/>
    <w:uiPriority w:val="99"/>
    <w:semiHidden/>
    <w:unhideWhenUsed/>
    <w:rsid w:val="00B60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10.2, C 11.2,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150DE987-22AC-4E8E-BE14-808C5AC18A31}">
      <dgm:prSet phldrT="[Text]" custT="1"/>
      <dgm:spPr/>
      <dgm:t>
        <a:bodyPr/>
        <a:lstStyle/>
        <a:p>
          <a:r>
            <a:rPr lang="en-US" sz="800"/>
            <a:t>(Foundation) 1.1 Mathematics, Specific  Applications of Algebra I:  (10.0), (12.0), and (15.0). </a:t>
          </a:r>
        </a:p>
      </dgm:t>
    </dgm:pt>
    <dgm:pt modelId="{1956237A-545C-4554-8793-E9278EC7AFEB}" type="parTrans" cxnId="{2D7E75C0-5531-412E-B439-BF8302CAE09D}">
      <dgm:prSet/>
      <dgm:spPr/>
    </dgm:pt>
    <dgm:pt modelId="{41BD71F2-E141-41A6-B669-C2F8DA1241D8}" type="sibTrans" cxnId="{2D7E75C0-5531-412E-B439-BF8302CAE09D}">
      <dgm:prSet/>
      <dgm:spPr/>
    </dgm:pt>
    <dgm:pt modelId="{32B5BA44-74A9-42A3-93D9-FA6E21BE6BF6}">
      <dgm:prSet phldrT="[Text]" custT="1"/>
      <dgm:spPr/>
      <dgm:t>
        <a:bodyPr/>
        <a:lstStyle/>
        <a:p>
          <a:r>
            <a:rPr lang="en-US" sz="800"/>
            <a:t>(Foundation) 1.1 Mathematics, Specific Applications of Probability and Statistics:  (8.0). </a:t>
          </a:r>
        </a:p>
      </dgm:t>
    </dgm:pt>
    <dgm:pt modelId="{6367B06E-05C0-428C-8698-F0AFF3ACBDBB}" type="parTrans" cxnId="{C3796731-77F6-4A59-B1EB-CF1329F5C256}">
      <dgm:prSet/>
      <dgm:spPr/>
    </dgm:pt>
    <dgm:pt modelId="{23390897-5D8D-4971-97FF-5B535835451F}" type="sibTrans" cxnId="{C3796731-77F6-4A59-B1EB-CF1329F5C256}">
      <dgm:prSet/>
      <dgm:spPr/>
    </dgm:pt>
    <dgm:pt modelId="{DD617CB7-2479-4021-BE96-037664AEE640}">
      <dgm:prSet phldrT="[Text]" custT="1"/>
      <dgm:spPr/>
      <dgm:t>
        <a:bodyPr/>
        <a:lstStyle/>
        <a:p>
          <a:r>
            <a:rPr lang="en-US" sz="800"/>
            <a:t>(Foundation) 1.2 Science, Specific Application of Investigation and Experimenation:  (1.a) and (1.d).</a:t>
          </a:r>
        </a:p>
      </dgm:t>
    </dgm:pt>
    <dgm:pt modelId="{0B548C8A-B73A-4493-B6A2-2287C3BC07A6}" type="parTrans" cxnId="{0C6DD3D3-C544-43D1-B821-06FE00DBA0AB}">
      <dgm:prSet/>
      <dgm:spPr/>
    </dgm:pt>
    <dgm:pt modelId="{E091E34F-05B2-4D3F-96F3-24D581B1F5FE}" type="sibTrans" cxnId="{0C6DD3D3-C544-43D1-B821-06FE00DBA0AB}">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41D5DC9C-6DAA-4A79-9B76-0A51BC7D79CD}" type="presOf" srcId="{C3C9244B-6B8D-431D-AE6F-7BCD90AB9A2A}" destId="{A4D15F51-D5B8-4FEF-AC1F-DDC6C711288A}" srcOrd="0" destOrd="0" presId="urn:microsoft.com/office/officeart/2005/8/layout/vList5"/>
    <dgm:cxn modelId="{114F87F6-5C98-4D09-A1DA-F0C15ACEBB03}" type="presOf" srcId="{DD617CB7-2479-4021-BE96-037664AEE640}" destId="{D85A961A-C185-4492-A3AB-0E0AC3BBFA0A}" srcOrd="0" destOrd="3" presId="urn:microsoft.com/office/officeart/2005/8/layout/vList5"/>
    <dgm:cxn modelId="{B90DCF88-EC69-420C-9966-2685C58867AA}" type="presOf" srcId="{150DE987-22AC-4E8E-BE14-808C5AC18A31}"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AC14FD69-1799-499B-8177-0CDEF3E3F108}" type="presOf" srcId="{ED35E908-99EA-4021-B7AA-FFFF751752DA}" destId="{287B5900-FDF9-4D22-B246-5318F5951704}" srcOrd="0" destOrd="0" presId="urn:microsoft.com/office/officeart/2005/8/layout/vList5"/>
    <dgm:cxn modelId="{F587FABF-2EE9-4DBC-85F2-D33216428470}" type="presOf" srcId="{3EE877E5-497D-48F8-B93E-6023B73C0C2D}" destId="{D85A961A-C185-4492-A3AB-0E0AC3BBFA0A}" srcOrd="0" destOrd="0" presId="urn:microsoft.com/office/officeart/2005/8/layout/vList5"/>
    <dgm:cxn modelId="{0C6DD3D3-C544-43D1-B821-06FE00DBA0AB}" srcId="{ED35E908-99EA-4021-B7AA-FFFF751752DA}" destId="{DD617CB7-2479-4021-BE96-037664AEE640}" srcOrd="3" destOrd="0" parTransId="{0B548C8A-B73A-4493-B6A2-2287C3BC07A6}" sibTransId="{E091E34F-05B2-4D3F-96F3-24D581B1F5FE}"/>
    <dgm:cxn modelId="{2B9D6090-678A-4E4E-BCED-8595A507F3AF}" type="presOf" srcId="{32B5BA44-74A9-42A3-93D9-FA6E21BE6BF6}" destId="{D85A961A-C185-4492-A3AB-0E0AC3BBFA0A}" srcOrd="0" destOrd="2" presId="urn:microsoft.com/office/officeart/2005/8/layout/vList5"/>
    <dgm:cxn modelId="{2D7E75C0-5531-412E-B439-BF8302CAE09D}" srcId="{ED35E908-99EA-4021-B7AA-FFFF751752DA}" destId="{150DE987-22AC-4E8E-BE14-808C5AC18A31}" srcOrd="1" destOrd="0" parTransId="{1956237A-545C-4554-8793-E9278EC7AFEB}" sibTransId="{41BD71F2-E141-41A6-B669-C2F8DA1241D8}"/>
    <dgm:cxn modelId="{C3796731-77F6-4A59-B1EB-CF1329F5C256}" srcId="{ED35E908-99EA-4021-B7AA-FFFF751752DA}" destId="{32B5BA44-74A9-42A3-93D9-FA6E21BE6BF6}" srcOrd="2" destOrd="0" parTransId="{6367B06E-05C0-428C-8698-F0AFF3ACBDBB}" sibTransId="{23390897-5D8D-4971-97FF-5B535835451F}"/>
    <dgm:cxn modelId="{565B3F5F-91A8-46E3-97C1-8750D181E237}" type="presParOf" srcId="{A4D15F51-D5B8-4FEF-AC1F-DDC6C711288A}" destId="{14F679C8-DA1F-4869-9C94-982F261574D1}" srcOrd="0" destOrd="0" presId="urn:microsoft.com/office/officeart/2005/8/layout/vList5"/>
    <dgm:cxn modelId="{CAFB7C53-1456-467E-BFB4-3ABFA9878BA4}" type="presParOf" srcId="{14F679C8-DA1F-4869-9C94-982F261574D1}" destId="{287B5900-FDF9-4D22-B246-5318F5951704}" srcOrd="0" destOrd="0" presId="urn:microsoft.com/office/officeart/2005/8/layout/vList5"/>
    <dgm:cxn modelId="{3F8D946F-6D50-4DFE-9811-BA0D732A9332}"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2.c.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935FAF27-ED22-4B2C-8104-779D774CA92F}" type="presOf" srcId="{C3C9244B-6B8D-431D-AE6F-7BCD90AB9A2A}" destId="{A4D15F51-D5B8-4FEF-AC1F-DDC6C711288A}" srcOrd="0" destOrd="0" presId="urn:microsoft.com/office/officeart/2005/8/layout/vList5"/>
    <dgm:cxn modelId="{73920D3F-1720-4CEC-8B35-BB229F7169F6}" type="presOf" srcId="{3EE877E5-497D-48F8-B93E-6023B73C0C2D}" destId="{D85A961A-C185-4492-A3AB-0E0AC3BBFA0A}" srcOrd="0" destOrd="0" presId="urn:microsoft.com/office/officeart/2005/8/layout/vList5"/>
    <dgm:cxn modelId="{9A0199C5-8265-438F-A159-21215B00570B}" type="presOf" srcId="{ED35E908-99EA-4021-B7AA-FFFF751752DA}" destId="{287B5900-FDF9-4D22-B246-5318F5951704}" srcOrd="0" destOrd="0" presId="urn:microsoft.com/office/officeart/2005/8/layout/vList5"/>
    <dgm:cxn modelId="{8872B5FA-66FE-4998-987C-BAE8CCA982CE}" type="presParOf" srcId="{A4D15F51-D5B8-4FEF-AC1F-DDC6C711288A}" destId="{14F679C8-DA1F-4869-9C94-982F261574D1}" srcOrd="0" destOrd="0" presId="urn:microsoft.com/office/officeart/2005/8/layout/vList5"/>
    <dgm:cxn modelId="{1390A7BF-E8B3-438D-B636-418031F05183}" type="presParOf" srcId="{14F679C8-DA1F-4869-9C94-982F261574D1}" destId="{287B5900-FDF9-4D22-B246-5318F5951704}" srcOrd="0" destOrd="0" presId="urn:microsoft.com/office/officeart/2005/8/layout/vList5"/>
    <dgm:cxn modelId="{930542C3-5DB2-4BF2-9C9D-7A2FD45A158F}"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10.2, C 11.2, and C 13.3.</a:t>
          </a:r>
        </a:p>
        <a:p>
          <a:pPr marL="57150" lvl="1" indent="-57150" algn="l" defTabSz="355600">
            <a:lnSpc>
              <a:spcPct val="90000"/>
            </a:lnSpc>
            <a:spcBef>
              <a:spcPct val="0"/>
            </a:spcBef>
            <a:spcAft>
              <a:spcPct val="15000"/>
            </a:spcAft>
            <a:buChar char="••"/>
          </a:pPr>
          <a:r>
            <a:rPr lang="en-US" sz="800" kern="1200"/>
            <a:t>(Foundation) 1.1 Mathematics, Specific  Applications of Algebra I:  (10.0), (12.0), and (15.0). </a:t>
          </a:r>
        </a:p>
        <a:p>
          <a:pPr marL="57150" lvl="1" indent="-57150" algn="l" defTabSz="355600">
            <a:lnSpc>
              <a:spcPct val="90000"/>
            </a:lnSpc>
            <a:spcBef>
              <a:spcPct val="0"/>
            </a:spcBef>
            <a:spcAft>
              <a:spcPct val="15000"/>
            </a:spcAft>
            <a:buChar char="••"/>
          </a:pPr>
          <a:r>
            <a:rPr lang="en-US" sz="800" kern="1200"/>
            <a:t>(Foundation) 1.1 Mathematics, Specific Applications of Probability and Statistics:  (8.0). </a:t>
          </a:r>
        </a:p>
        <a:p>
          <a:pPr marL="57150" lvl="1" indent="-57150" algn="l" defTabSz="355600">
            <a:lnSpc>
              <a:spcPct val="90000"/>
            </a:lnSpc>
            <a:spcBef>
              <a:spcPct val="0"/>
            </a:spcBef>
            <a:spcAft>
              <a:spcPct val="15000"/>
            </a:spcAft>
            <a:buChar char="••"/>
          </a:pPr>
          <a:r>
            <a:rPr lang="en-US" sz="800" kern="1200"/>
            <a:t>(Foundation) 1.2 Science, Specific Application of Investigation and Experimenation:  (1.a) and (1.d).</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2.c.</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602B-A6B5-4C95-96A2-0B1A0968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9</cp:revision>
  <dcterms:created xsi:type="dcterms:W3CDTF">2009-09-08T18:38:00Z</dcterms:created>
  <dcterms:modified xsi:type="dcterms:W3CDTF">2009-09-23T21:49:00Z</dcterms:modified>
</cp:coreProperties>
</file>