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51" w:rsidRDefault="00E92351" w:rsidP="00E92351">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E92351" w:rsidRDefault="00E92351" w:rsidP="00E92351">
      <w:pPr>
        <w:jc w:val="right"/>
      </w:pPr>
      <w:r>
        <w:t>Date____________________</w:t>
      </w:r>
    </w:p>
    <w:p w:rsidR="00E92351" w:rsidRDefault="0057105E" w:rsidP="00E92351">
      <w:pPr>
        <w:pStyle w:val="Heading1"/>
        <w:jc w:val="center"/>
      </w:pPr>
      <w:r>
        <w:t xml:space="preserve">Density of Solids – How Sweet it </w:t>
      </w:r>
      <w:r w:rsidR="00B9538B">
        <w:t>is</w:t>
      </w:r>
      <w:r>
        <w:t>!</w:t>
      </w:r>
    </w:p>
    <w:p w:rsidR="00E92351" w:rsidRPr="005D1100" w:rsidRDefault="00E92351" w:rsidP="00E92351">
      <w:pPr>
        <w:pStyle w:val="NoSpacing"/>
        <w:rPr>
          <w:b/>
        </w:rPr>
      </w:pPr>
      <w:r>
        <w:rPr>
          <w:b/>
        </w:rPr>
        <w:t>Purpose</w:t>
      </w:r>
    </w:p>
    <w:p w:rsidR="00B9538B" w:rsidRDefault="00E92351" w:rsidP="00B9538B">
      <w:r>
        <w:t>The purpose of this lab is</w:t>
      </w:r>
      <w:r w:rsidR="0057105E">
        <w:t xml:space="preserve"> to investigate density by determining which is </w:t>
      </w:r>
      <w:proofErr w:type="gramStart"/>
      <w:r w:rsidR="00C83DB4">
        <w:t>more dense</w:t>
      </w:r>
      <w:proofErr w:type="gramEnd"/>
      <w:r w:rsidR="0057105E">
        <w:t>, a Snickers or a Three Musketeers bar.</w:t>
      </w:r>
      <w:r w:rsidR="0031234A">
        <w:rPr>
          <w:rStyle w:val="EndnoteReference"/>
        </w:rPr>
        <w:endnoteReference w:id="2"/>
      </w:r>
    </w:p>
    <w:p w:rsidR="00B9538B" w:rsidRDefault="00B9538B" w:rsidP="00B9538B">
      <w:pPr>
        <w:pStyle w:val="NoSpacing"/>
        <w:rPr>
          <w:b/>
        </w:rPr>
      </w:pPr>
      <w:r w:rsidRPr="00B9538B">
        <w:rPr>
          <w:b/>
        </w:rPr>
        <w:t>Procedure</w:t>
      </w:r>
    </w:p>
    <w:p w:rsidR="00B9538B" w:rsidRDefault="00B9538B" w:rsidP="00B9538B">
      <w:pPr>
        <w:pStyle w:val="NoSpacing"/>
        <w:rPr>
          <w:b/>
        </w:rPr>
      </w:pPr>
      <w:r>
        <w:rPr>
          <w:b/>
        </w:rPr>
        <w:t xml:space="preserve">     Materials</w:t>
      </w:r>
    </w:p>
    <w:p w:rsidR="00B9538B" w:rsidRDefault="00B9538B" w:rsidP="00B9538B">
      <w:pPr>
        <w:pStyle w:val="NoSpacing"/>
        <w:numPr>
          <w:ilvl w:val="0"/>
          <w:numId w:val="1"/>
        </w:numPr>
      </w:pPr>
      <w:r>
        <w:t>Snickers</w:t>
      </w:r>
      <w:r>
        <w:tab/>
      </w:r>
      <w:r>
        <w:tab/>
      </w:r>
      <w:r>
        <w:tab/>
      </w:r>
      <w:r>
        <w:tab/>
        <w:t>5. Cup</w:t>
      </w:r>
    </w:p>
    <w:p w:rsidR="00B9538B" w:rsidRDefault="00B9538B" w:rsidP="00B9538B">
      <w:pPr>
        <w:pStyle w:val="NoSpacing"/>
        <w:numPr>
          <w:ilvl w:val="0"/>
          <w:numId w:val="1"/>
        </w:numPr>
      </w:pPr>
      <w:r>
        <w:t>Three Musketeers</w:t>
      </w:r>
      <w:r>
        <w:tab/>
      </w:r>
      <w:r>
        <w:tab/>
      </w:r>
      <w:r>
        <w:tab/>
        <w:t>6. Water</w:t>
      </w:r>
    </w:p>
    <w:p w:rsidR="00B9538B" w:rsidRDefault="00B9538B" w:rsidP="00B9538B">
      <w:pPr>
        <w:pStyle w:val="NoSpacing"/>
        <w:numPr>
          <w:ilvl w:val="0"/>
          <w:numId w:val="1"/>
        </w:numPr>
      </w:pPr>
      <w:r>
        <w:t>Ruler</w:t>
      </w:r>
      <w:r>
        <w:tab/>
      </w:r>
      <w:r>
        <w:tab/>
      </w:r>
      <w:r>
        <w:tab/>
      </w:r>
      <w:r>
        <w:tab/>
        <w:t xml:space="preserve">7. Knife </w:t>
      </w:r>
    </w:p>
    <w:p w:rsidR="00B9538B" w:rsidRDefault="00B9538B" w:rsidP="00B9538B">
      <w:pPr>
        <w:pStyle w:val="NoSpacing"/>
        <w:numPr>
          <w:ilvl w:val="0"/>
          <w:numId w:val="1"/>
        </w:numPr>
      </w:pPr>
      <w:r>
        <w:t>Triple beam balance</w:t>
      </w:r>
      <w:r>
        <w:tab/>
      </w:r>
      <w:r>
        <w:tab/>
        <w:t>8. Paper towel</w:t>
      </w:r>
    </w:p>
    <w:p w:rsidR="00B9538B" w:rsidRDefault="00B9538B" w:rsidP="00B9538B">
      <w:pPr>
        <w:pStyle w:val="NoSpacing"/>
      </w:pPr>
    </w:p>
    <w:p w:rsidR="00B9538B" w:rsidRDefault="00B9538B" w:rsidP="00B9538B">
      <w:pPr>
        <w:pStyle w:val="NoSpacing"/>
        <w:rPr>
          <w:b/>
        </w:rPr>
      </w:pPr>
      <w:r>
        <w:rPr>
          <w:b/>
        </w:rPr>
        <w:t>Sequence of Steps</w:t>
      </w:r>
    </w:p>
    <w:p w:rsidR="00B9538B" w:rsidRPr="00B9538B" w:rsidRDefault="00B9538B" w:rsidP="00B9538B">
      <w:pPr>
        <w:pStyle w:val="NoSpacing"/>
        <w:numPr>
          <w:ilvl w:val="0"/>
          <w:numId w:val="2"/>
        </w:numPr>
      </w:pPr>
      <w:r w:rsidRPr="00B9538B">
        <w:t>Read the “Background” section for this lab. Highlight significant information and use this as a resource when completing the lab.</w:t>
      </w:r>
    </w:p>
    <w:p w:rsidR="00B9538B" w:rsidRPr="00B9538B" w:rsidRDefault="00B9538B" w:rsidP="00B9538B">
      <w:pPr>
        <w:numPr>
          <w:ilvl w:val="0"/>
          <w:numId w:val="2"/>
        </w:numPr>
        <w:spacing w:after="0" w:line="240" w:lineRule="auto"/>
      </w:pPr>
      <w:r>
        <w:rPr>
          <w:noProof/>
        </w:rPr>
        <w:drawing>
          <wp:anchor distT="0" distB="0" distL="114300" distR="114300" simplePos="0" relativeHeight="251664384" behindDoc="1" locked="0" layoutInCell="1" allowOverlap="1">
            <wp:simplePos x="0" y="0"/>
            <wp:positionH relativeFrom="column">
              <wp:posOffset>-35560</wp:posOffset>
            </wp:positionH>
            <wp:positionV relativeFrom="paragraph">
              <wp:posOffset>155575</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Pr="00B9538B">
        <w:t>Unwrap, but DO NOT EAT YOUR CANDY!!!</w:t>
      </w:r>
    </w:p>
    <w:p w:rsidR="00B9538B" w:rsidRPr="00B9538B" w:rsidRDefault="0031234A" w:rsidP="00B9538B">
      <w:pPr>
        <w:numPr>
          <w:ilvl w:val="0"/>
          <w:numId w:val="2"/>
        </w:numPr>
        <w:spacing w:after="0" w:line="240" w:lineRule="auto"/>
      </w:pPr>
      <w:r>
        <w:rPr>
          <w:noProof/>
        </w:rPr>
        <w:drawing>
          <wp:anchor distT="0" distB="0" distL="114300" distR="114300" simplePos="0" relativeHeight="251666432" behindDoc="1" locked="0" layoutInCell="1" allowOverlap="1">
            <wp:simplePos x="0" y="0"/>
            <wp:positionH relativeFrom="column">
              <wp:posOffset>-35560</wp:posOffset>
            </wp:positionH>
            <wp:positionV relativeFrom="paragraph">
              <wp:posOffset>313690</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B9538B" w:rsidRPr="00B9538B">
        <w:t>Measure the length, width, and height of the snickers bar in centimeters.  Record your findings in “observations”.</w:t>
      </w:r>
    </w:p>
    <w:p w:rsidR="00B9538B" w:rsidRPr="00B9538B" w:rsidRDefault="0031234A" w:rsidP="00B9538B">
      <w:pPr>
        <w:numPr>
          <w:ilvl w:val="0"/>
          <w:numId w:val="2"/>
        </w:numPr>
        <w:spacing w:after="0" w:line="240" w:lineRule="auto"/>
      </w:pPr>
      <w:r>
        <w:rPr>
          <w:noProof/>
        </w:rPr>
        <w:drawing>
          <wp:anchor distT="0" distB="0" distL="114300" distR="114300" simplePos="0" relativeHeight="251668480" behindDoc="1" locked="0" layoutInCell="1" allowOverlap="1">
            <wp:simplePos x="0" y="0"/>
            <wp:positionH relativeFrom="column">
              <wp:posOffset>-35560</wp:posOffset>
            </wp:positionH>
            <wp:positionV relativeFrom="paragraph">
              <wp:posOffset>394970</wp:posOffset>
            </wp:positionV>
            <wp:extent cx="191770"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B9538B" w:rsidRPr="00B9538B">
        <w:t>Determine the volume of the snickers bar by multiplying the length by the width, then by the height.  Because you are multiplying the units and well as the numbers, this will give you an answer in cm</w:t>
      </w:r>
      <w:r w:rsidR="00B9538B" w:rsidRPr="00B9538B">
        <w:rPr>
          <w:vertAlign w:val="superscript"/>
        </w:rPr>
        <w:t>3</w:t>
      </w:r>
      <w:r w:rsidR="00B9538B" w:rsidRPr="00B9538B">
        <w:t>.  R</w:t>
      </w:r>
      <w:r>
        <w:t>ecord below your findings in “observations”.</w:t>
      </w:r>
    </w:p>
    <w:p w:rsidR="00B9538B" w:rsidRPr="00B9538B" w:rsidRDefault="00B9538B" w:rsidP="00B9538B">
      <w:pPr>
        <w:numPr>
          <w:ilvl w:val="0"/>
          <w:numId w:val="2"/>
        </w:numPr>
        <w:spacing w:after="0" w:line="240" w:lineRule="auto"/>
      </w:pPr>
      <w:r w:rsidRPr="00B9538B">
        <w:t>Determine the mass of the snickers bar on the tr</w:t>
      </w:r>
      <w:r w:rsidR="0031234A">
        <w:t>iple beam balance.  Record in “observations”</w:t>
      </w:r>
      <w:r w:rsidRPr="00B9538B">
        <w:t>.</w:t>
      </w:r>
    </w:p>
    <w:p w:rsidR="00B9538B" w:rsidRPr="00B9538B" w:rsidRDefault="0031234A" w:rsidP="00B9538B">
      <w:pPr>
        <w:numPr>
          <w:ilvl w:val="0"/>
          <w:numId w:val="2"/>
        </w:numPr>
        <w:spacing w:after="0" w:line="240" w:lineRule="auto"/>
      </w:pPr>
      <w:r>
        <w:rPr>
          <w:noProof/>
        </w:rPr>
        <w:drawing>
          <wp:anchor distT="0" distB="0" distL="114300" distR="114300" simplePos="0" relativeHeight="251670528" behindDoc="1" locked="0" layoutInCell="1" allowOverlap="1">
            <wp:simplePos x="0" y="0"/>
            <wp:positionH relativeFrom="column">
              <wp:posOffset>-40005</wp:posOffset>
            </wp:positionH>
            <wp:positionV relativeFrom="paragraph">
              <wp:posOffset>133985</wp:posOffset>
            </wp:positionV>
            <wp:extent cx="191770" cy="25781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Repeat steps 2-5 for the Three </w:t>
      </w:r>
      <w:r w:rsidR="00B9538B" w:rsidRPr="00B9538B">
        <w:t>Musketeers Bar.</w:t>
      </w:r>
    </w:p>
    <w:p w:rsidR="00B9538B" w:rsidRPr="00B9538B" w:rsidRDefault="0031234A" w:rsidP="00B9538B">
      <w:pPr>
        <w:numPr>
          <w:ilvl w:val="0"/>
          <w:numId w:val="2"/>
        </w:numPr>
        <w:spacing w:after="0" w:line="240" w:lineRule="auto"/>
      </w:pPr>
      <w:r>
        <w:rPr>
          <w:noProof/>
        </w:rPr>
        <w:drawing>
          <wp:anchor distT="0" distB="0" distL="114300" distR="114300" simplePos="0" relativeHeight="251672576" behindDoc="1" locked="0" layoutInCell="1" allowOverlap="1">
            <wp:simplePos x="0" y="0"/>
            <wp:positionH relativeFrom="column">
              <wp:posOffset>-40005</wp:posOffset>
            </wp:positionH>
            <wp:positionV relativeFrom="paragraph">
              <wp:posOffset>292100</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B9538B" w:rsidRPr="00B9538B">
        <w:t xml:space="preserve">Determine the density of each bar by dividing the mass by the volume.  </w:t>
      </w:r>
      <w:r>
        <w:t>Show your work and record in “observations”.</w:t>
      </w:r>
    </w:p>
    <w:p w:rsidR="00B9538B" w:rsidRPr="00B9538B" w:rsidRDefault="0031234A" w:rsidP="00B9538B">
      <w:pPr>
        <w:numPr>
          <w:ilvl w:val="0"/>
          <w:numId w:val="2"/>
        </w:numPr>
        <w:spacing w:after="0" w:line="240" w:lineRule="auto"/>
      </w:pPr>
      <w:r>
        <w:rPr>
          <w:noProof/>
        </w:rPr>
        <w:drawing>
          <wp:anchor distT="0" distB="0" distL="114300" distR="114300" simplePos="0" relativeHeight="251676672" behindDoc="1" locked="0" layoutInCell="1" allowOverlap="1">
            <wp:simplePos x="0" y="0"/>
            <wp:positionH relativeFrom="column">
              <wp:posOffset>-39565</wp:posOffset>
            </wp:positionH>
            <wp:positionV relativeFrom="paragraph">
              <wp:posOffset>291417</wp:posOffset>
            </wp:positionV>
            <wp:extent cx="191965" cy="257907"/>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965" cy="257907"/>
                    </a:xfrm>
                    <a:prstGeom prst="rect">
                      <a:avLst/>
                    </a:prstGeom>
                    <a:noFill/>
                    <a:ln w="9525">
                      <a:noFill/>
                      <a:miter lim="800000"/>
                      <a:headEnd/>
                      <a:tailEnd/>
                    </a:ln>
                  </pic:spPr>
                </pic:pic>
              </a:graphicData>
            </a:graphic>
          </wp:anchor>
        </w:drawing>
      </w:r>
      <w:r w:rsidR="00B9538B" w:rsidRPr="00B9538B">
        <w:t>Knowing that the density of water is 1 g/cm</w:t>
      </w:r>
      <w:r w:rsidR="00B9538B" w:rsidRPr="00B9538B">
        <w:rPr>
          <w:vertAlign w:val="superscript"/>
        </w:rPr>
        <w:t>3</w:t>
      </w:r>
      <w:r w:rsidR="00B9538B" w:rsidRPr="00B9538B">
        <w:t xml:space="preserve">, predict whether each bar will float </w:t>
      </w:r>
      <w:r>
        <w:t>or sink in water.  Record your prediction.</w:t>
      </w:r>
    </w:p>
    <w:p w:rsidR="00B9538B" w:rsidRPr="00B9538B" w:rsidRDefault="00B9538B" w:rsidP="00B9538B">
      <w:pPr>
        <w:numPr>
          <w:ilvl w:val="0"/>
          <w:numId w:val="2"/>
        </w:numPr>
        <w:spacing w:after="0" w:line="240" w:lineRule="auto"/>
      </w:pPr>
      <w:r w:rsidRPr="00B9538B">
        <w:t>Drop each bar into the water, observe,</w:t>
      </w:r>
      <w:r w:rsidR="0031234A">
        <w:t xml:space="preserve"> </w:t>
      </w:r>
      <w:r w:rsidRPr="00B9538B">
        <w:t>IMMEDIATELY REMOVE, and record below.</w:t>
      </w:r>
    </w:p>
    <w:p w:rsidR="00B9538B" w:rsidRPr="00B9538B" w:rsidRDefault="00B9538B" w:rsidP="00B9538B">
      <w:pPr>
        <w:numPr>
          <w:ilvl w:val="0"/>
          <w:numId w:val="2"/>
        </w:numPr>
        <w:spacing w:after="0" w:line="240" w:lineRule="auto"/>
      </w:pPr>
      <w:r w:rsidRPr="00B9538B">
        <w:t>Cut each bar in half vertically.  Draw and label what you see.</w:t>
      </w:r>
    </w:p>
    <w:p w:rsidR="00B9538B" w:rsidRPr="00B9538B" w:rsidRDefault="00B9538B" w:rsidP="00B9538B">
      <w:pPr>
        <w:numPr>
          <w:ilvl w:val="0"/>
          <w:numId w:val="2"/>
        </w:numPr>
        <w:spacing w:after="0" w:line="240" w:lineRule="auto"/>
      </w:pPr>
      <w:r w:rsidRPr="00B9538B">
        <w:t>Brin</w:t>
      </w:r>
      <w:r w:rsidR="000A4EFF">
        <w:t>g your work to your teacher</w:t>
      </w:r>
      <w:r w:rsidRPr="00B9538B">
        <w:t xml:space="preserve"> to view your results.</w:t>
      </w:r>
    </w:p>
    <w:p w:rsidR="00B9538B" w:rsidRPr="00B9538B" w:rsidRDefault="0031234A" w:rsidP="00B9538B">
      <w:pPr>
        <w:pStyle w:val="NoSpacing"/>
        <w:ind w:left="720"/>
      </w:pPr>
      <w:r w:rsidRPr="0031234A">
        <w:rPr>
          <w:noProof/>
        </w:rPr>
        <w:drawing>
          <wp:anchor distT="0" distB="0" distL="114300" distR="114300" simplePos="0" relativeHeight="251674624" behindDoc="1" locked="0" layoutInCell="1" allowOverlap="1">
            <wp:simplePos x="0" y="0"/>
            <wp:positionH relativeFrom="column">
              <wp:posOffset>-34738</wp:posOffset>
            </wp:positionH>
            <wp:positionV relativeFrom="paragraph">
              <wp:posOffset>-299757</wp:posOffset>
            </wp:positionV>
            <wp:extent cx="196103" cy="258183"/>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191157" cy="262758"/>
                    </a:xfrm>
                    <a:prstGeom prst="rect">
                      <a:avLst/>
                    </a:prstGeom>
                    <a:noFill/>
                    <a:ln w="9525">
                      <a:noFill/>
                      <a:miter lim="800000"/>
                      <a:headEnd/>
                      <a:tailEnd/>
                    </a:ln>
                  </pic:spPr>
                </pic:pic>
              </a:graphicData>
            </a:graphic>
          </wp:anchor>
        </w:drawing>
      </w:r>
    </w:p>
    <w:p w:rsidR="0031234A" w:rsidRDefault="0031234A" w:rsidP="00B9538B">
      <w:pPr>
        <w:rPr>
          <w:b/>
        </w:rPr>
      </w:pPr>
    </w:p>
    <w:p w:rsidR="0031234A" w:rsidRDefault="0031234A" w:rsidP="00B9538B">
      <w:pPr>
        <w:rPr>
          <w:b/>
        </w:rPr>
      </w:pPr>
    </w:p>
    <w:p w:rsidR="0031234A" w:rsidRDefault="0031234A" w:rsidP="00B9538B">
      <w:pPr>
        <w:rPr>
          <w:b/>
        </w:rPr>
      </w:pPr>
    </w:p>
    <w:p w:rsidR="0031234A" w:rsidRDefault="0031234A" w:rsidP="00B9538B">
      <w:pPr>
        <w:rPr>
          <w:b/>
        </w:rPr>
      </w:pPr>
    </w:p>
    <w:p w:rsidR="0031234A" w:rsidRDefault="00B9538B" w:rsidP="00B9538B">
      <w:r w:rsidRPr="00B9538B">
        <w:rPr>
          <w:b/>
        </w:rPr>
        <w:lastRenderedPageBreak/>
        <w:t>BACKGROUND</w:t>
      </w:r>
    </w:p>
    <w:p w:rsidR="00B9538B" w:rsidRPr="00B9538B" w:rsidRDefault="00B9538B" w:rsidP="00B9538B">
      <w:r w:rsidRPr="00B9538B">
        <w:t xml:space="preserve"> Density is a measure of how tightly packed the particles are in a substance.  It is often easiest to think of density in terms of how heavy something is, but this does not always give us the best picture.  For example a kilogram of feathers has the same mass as a kilogram of gold.  They do not, however, have the same density.  That is the particles (atoms) of gold are much closer together than are the feathers.  Therefore, a kilogram of feathers would take up significantly more space than a kilogram of gold.  Conversely, if you had two identical bags, one full of gold and one full of feathers, the bag full of gold would have a much greater mass.  Since it is not easy to picture what density really is, we need a better way to talk about and find the density of a substance.  We can use two important pieces of information from the above example, mass and volume to calculate the density.  Mass is a measure of the amount of “stuff” that makes up a substance.  The “stuff” is more accurately called matter.  Matter can be an atom, a molecule, or an entire object.  Basically, anything you can think of is matter.  In general, the more massive an object is, the heavier it is.  Volume is the amount of space something takes up.  The more space a substance takes up, the greater the volume.</w:t>
      </w:r>
    </w:p>
    <w:p w:rsidR="00B9538B" w:rsidRDefault="00B9538B" w:rsidP="00B9538B">
      <w:r w:rsidRPr="00B9538B">
        <w:t xml:space="preserve">The technical definition of density is the amount of matter in a given volume.  That is, how much “stuff” is packed into a certain amount of </w:t>
      </w:r>
      <w:r w:rsidR="00980372" w:rsidRPr="00B9538B">
        <w:t>space?</w:t>
      </w:r>
      <w:r w:rsidRPr="00B9538B">
        <w:t xml:space="preserve">  Therefore, if you know the mass and volume of a substance, you can very easily calculate the density.  The formula used to calculate density is:</w:t>
      </w:r>
      <w:r w:rsidRPr="00B9538B">
        <w:tab/>
      </w:r>
      <w:r w:rsidRPr="00B9538B">
        <w:tab/>
      </w:r>
    </w:p>
    <w:p w:rsidR="00B9538B" w:rsidRPr="00B9538B" w:rsidRDefault="004B66D6" w:rsidP="00B9538B">
      <w:pPr>
        <w:pStyle w:val="NoSpacing"/>
        <w:ind w:left="2160" w:firstLine="720"/>
      </w:pPr>
      <w:r>
        <w:rPr>
          <w:noProof/>
        </w:rPr>
        <w:pict>
          <v:line id="_x0000_s1026" style="position:absolute;left:0;text-align:left;z-index:251662336" from="204.7pt,12.45pt" to="258.7pt,12.45pt" strokeweight="2.25pt"/>
        </w:pict>
      </w:r>
      <w:r w:rsidR="00B9538B" w:rsidRPr="00B9538B">
        <w:t xml:space="preserve">Density   = </w:t>
      </w:r>
      <w:r w:rsidR="00B9538B" w:rsidRPr="00B9538B">
        <w:tab/>
        <w:t>mass</w:t>
      </w:r>
    </w:p>
    <w:p w:rsidR="00B9538B" w:rsidRPr="00B9538B" w:rsidRDefault="00B9538B" w:rsidP="00B9538B">
      <w:pPr>
        <w:ind w:left="3600" w:firstLine="720"/>
      </w:pPr>
      <w:proofErr w:type="gramStart"/>
      <w:r w:rsidRPr="00B9538B">
        <w:t>volume</w:t>
      </w:r>
      <w:proofErr w:type="gramEnd"/>
    </w:p>
    <w:p w:rsidR="00B9538B" w:rsidRPr="00B9538B" w:rsidRDefault="00B9538B" w:rsidP="00B9538B">
      <w:r w:rsidRPr="00B9538B">
        <w:t>There are many units that can be used to express density.  Here are a few common examples: g/ml (grams per milliliter), g/L (grams/liter), g/cm</w:t>
      </w:r>
      <w:r w:rsidRPr="00B9538B">
        <w:rPr>
          <w:vertAlign w:val="superscript"/>
        </w:rPr>
        <w:t>3</w:t>
      </w:r>
      <w:r w:rsidRPr="00B9538B">
        <w:t xml:space="preserve"> (grams per cubic centimeter), </w:t>
      </w:r>
      <w:proofErr w:type="gramStart"/>
      <w:r w:rsidRPr="00B9538B">
        <w:t>g</w:t>
      </w:r>
      <w:proofErr w:type="gramEnd"/>
      <w:r w:rsidRPr="00B9538B">
        <w:t>/cc (grams per cubic centimeter.)  For example, if it was determined that a box had a mass of 150 g and a volume of 15 cm</w:t>
      </w:r>
      <w:r w:rsidRPr="00B9538B">
        <w:rPr>
          <w:vertAlign w:val="superscript"/>
        </w:rPr>
        <w:t>3</w:t>
      </w:r>
      <w:r w:rsidRPr="00B9538B">
        <w:t xml:space="preserve">, </w:t>
      </w:r>
      <w:proofErr w:type="gramStart"/>
      <w:r w:rsidRPr="00B9538B">
        <w:t>then</w:t>
      </w:r>
      <w:proofErr w:type="gramEnd"/>
      <w:r w:rsidRPr="00B9538B">
        <w:t xml:space="preserve"> the density would be equal to 10 g/cm</w:t>
      </w:r>
      <w:r w:rsidRPr="00B9538B">
        <w:rPr>
          <w:vertAlign w:val="superscript"/>
        </w:rPr>
        <w:t>3</w:t>
      </w:r>
      <w:r w:rsidRPr="00B9538B">
        <w:t>.  Water has a density of 1 g/ml or 1 g/cm3.  That means that every ml of water will have a mass of 1 g.</w:t>
      </w:r>
    </w:p>
    <w:p w:rsidR="00C83DB4" w:rsidRDefault="00C83DB4" w:rsidP="00B9538B">
      <w:pPr>
        <w:rPr>
          <w:b/>
        </w:rPr>
      </w:pPr>
    </w:p>
    <w:p w:rsidR="00B9538B" w:rsidRPr="00B9538B" w:rsidRDefault="00B9538B" w:rsidP="00B9538B">
      <w:pPr>
        <w:rPr>
          <w:b/>
        </w:rPr>
      </w:pPr>
      <w:r w:rsidRPr="00B9538B">
        <w:rPr>
          <w:b/>
        </w:rPr>
        <w:t>HYPOTHESIS</w:t>
      </w:r>
      <w:r w:rsidRPr="00B9538B">
        <w:t>:  If a ________________________ has particles that are packed more tightly than a ____________________________, then a __________________________ is more dense than a</w:t>
      </w:r>
    </w:p>
    <w:p w:rsidR="0031234A" w:rsidRDefault="0031234A" w:rsidP="0031234A">
      <w:pPr>
        <w:pStyle w:val="NoSpacing"/>
        <w:ind w:left="720"/>
      </w:pPr>
    </w:p>
    <w:p w:rsidR="0031234A" w:rsidRDefault="0031234A" w:rsidP="0031234A">
      <w:pPr>
        <w:pStyle w:val="NoSpacing"/>
        <w:ind w:left="720"/>
      </w:pPr>
    </w:p>
    <w:p w:rsidR="0031234A" w:rsidRDefault="0031234A" w:rsidP="0031234A">
      <w:pPr>
        <w:pStyle w:val="NoSpacing"/>
        <w:ind w:left="720"/>
      </w:pPr>
    </w:p>
    <w:p w:rsidR="0031234A" w:rsidRDefault="0031234A" w:rsidP="0031234A">
      <w:pPr>
        <w:pStyle w:val="NoSpacing"/>
        <w:ind w:left="720"/>
      </w:pPr>
    </w:p>
    <w:p w:rsidR="0031234A" w:rsidRDefault="0031234A" w:rsidP="0031234A">
      <w:pPr>
        <w:pStyle w:val="NoSpacing"/>
        <w:ind w:left="720"/>
      </w:pPr>
    </w:p>
    <w:p w:rsidR="0031234A" w:rsidRDefault="0031234A" w:rsidP="0031234A">
      <w:pPr>
        <w:pStyle w:val="NoSpacing"/>
        <w:ind w:left="720"/>
      </w:pPr>
    </w:p>
    <w:p w:rsidR="0031234A" w:rsidRDefault="0031234A" w:rsidP="0031234A">
      <w:pPr>
        <w:pStyle w:val="NoSpacing"/>
        <w:ind w:left="720"/>
      </w:pPr>
    </w:p>
    <w:p w:rsidR="0031234A" w:rsidRDefault="0031234A" w:rsidP="0031234A">
      <w:pPr>
        <w:pStyle w:val="NoSpacing"/>
        <w:ind w:left="720"/>
      </w:pPr>
    </w:p>
    <w:p w:rsidR="0031234A" w:rsidRDefault="0031234A" w:rsidP="0031234A">
      <w:pPr>
        <w:pStyle w:val="NoSpacing"/>
        <w:ind w:left="720"/>
      </w:pPr>
    </w:p>
    <w:p w:rsidR="0031234A" w:rsidRDefault="0031234A" w:rsidP="0031234A">
      <w:pPr>
        <w:pStyle w:val="NoSpacing"/>
        <w:ind w:left="720"/>
      </w:pPr>
    </w:p>
    <w:p w:rsidR="0031234A" w:rsidRDefault="0031234A" w:rsidP="0031234A">
      <w:pPr>
        <w:pStyle w:val="NoSpacing"/>
        <w:ind w:left="720"/>
      </w:pPr>
    </w:p>
    <w:p w:rsidR="0031234A" w:rsidRPr="00441CE5" w:rsidRDefault="0031234A" w:rsidP="0031234A">
      <w:pPr>
        <w:pStyle w:val="NoSpacing"/>
        <w:ind w:firstLine="720"/>
        <w:rPr>
          <w:b/>
        </w:rPr>
      </w:pPr>
      <w:r>
        <w:rPr>
          <w:b/>
          <w:noProof/>
        </w:rPr>
        <w:drawing>
          <wp:anchor distT="0" distB="0" distL="114300" distR="114300" simplePos="0" relativeHeight="251680768" behindDoc="1" locked="0" layoutInCell="1" allowOverlap="1">
            <wp:simplePos x="0" y="0"/>
            <wp:positionH relativeFrom="column">
              <wp:posOffset>-161925</wp:posOffset>
            </wp:positionH>
            <wp:positionV relativeFrom="paragraph">
              <wp:posOffset>-222885</wp:posOffset>
            </wp:positionV>
            <wp:extent cx="660400" cy="820420"/>
            <wp:effectExtent l="19050" t="0" r="635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cstate="print"/>
                    <a:srcRect/>
                    <a:stretch>
                      <a:fillRect/>
                    </a:stretch>
                  </pic:blipFill>
                  <pic:spPr bwMode="auto">
                    <a:xfrm>
                      <a:off x="0" y="0"/>
                      <a:ext cx="660400" cy="820420"/>
                    </a:xfrm>
                    <a:prstGeom prst="rect">
                      <a:avLst/>
                    </a:prstGeom>
                    <a:noFill/>
                    <a:ln w="9525">
                      <a:noFill/>
                      <a:miter lim="800000"/>
                      <a:headEnd/>
                      <a:tailEnd/>
                    </a:ln>
                  </pic:spPr>
                </pic:pic>
              </a:graphicData>
            </a:graphic>
          </wp:anchor>
        </w:drawing>
      </w:r>
      <w:r w:rsidR="004B66D6">
        <w:rPr>
          <w:b/>
          <w:noProof/>
        </w:rPr>
        <w:pict>
          <v:shapetype id="_x0000_t32" coordsize="21600,21600" o:spt="32" o:oned="t" path="m,l21600,21600e" filled="f">
            <v:path arrowok="t" fillok="f" o:connecttype="none"/>
            <o:lock v:ext="edit" shapetype="t"/>
          </v:shapetype>
          <v:shape id="_x0000_s1027" type="#_x0000_t32" style="position:absolute;left:0;text-align:left;margin-left:37.6pt;margin-top:2.25pt;width:474.45pt;height:.55pt;z-index:251678720;mso-position-horizontal-relative:text;mso-position-vertical-relative:text" o:connectortype="straight">
            <v:stroke dashstyle="1 1" endcap="round"/>
          </v:shape>
        </w:pict>
      </w:r>
      <w:r>
        <w:rPr>
          <w:b/>
        </w:rPr>
        <w:t xml:space="preserve">  Observations</w:t>
      </w:r>
      <w:r>
        <w:rPr>
          <w:b/>
        </w:rPr>
        <w:tab/>
      </w:r>
    </w:p>
    <w:p w:rsidR="0031234A" w:rsidRDefault="0031234A" w:rsidP="0031234A">
      <w:pPr>
        <w:ind w:firstLine="720"/>
        <w:rPr>
          <w:u w:val="single"/>
        </w:rPr>
      </w:pPr>
    </w:p>
    <w:p w:rsidR="0031234A" w:rsidRPr="0031234A" w:rsidRDefault="0031234A" w:rsidP="0031234A">
      <w:pPr>
        <w:ind w:firstLine="720"/>
        <w:rPr>
          <w:u w:val="single"/>
        </w:rPr>
      </w:pPr>
      <w:r w:rsidRPr="0031234A">
        <w:rPr>
          <w:u w:val="single"/>
        </w:rPr>
        <w:t>VOLUME</w:t>
      </w:r>
    </w:p>
    <w:tbl>
      <w:tblPr>
        <w:tblStyle w:val="TableGrid"/>
        <w:tblW w:w="0" w:type="auto"/>
        <w:tblLook w:val="01E0"/>
      </w:tblPr>
      <w:tblGrid>
        <w:gridCol w:w="1901"/>
        <w:gridCol w:w="1380"/>
        <w:gridCol w:w="1310"/>
        <w:gridCol w:w="1321"/>
        <w:gridCol w:w="3664"/>
      </w:tblGrid>
      <w:tr w:rsidR="0031234A" w:rsidRPr="0031234A" w:rsidTr="00B666B8">
        <w:tc>
          <w:tcPr>
            <w:tcW w:w="2203"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CANDY</w:t>
            </w:r>
          </w:p>
        </w:tc>
        <w:tc>
          <w:tcPr>
            <w:tcW w:w="1505"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LENGTH (cm)</w:t>
            </w:r>
          </w:p>
        </w:tc>
        <w:tc>
          <w:tcPr>
            <w:tcW w:w="1440"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WIDTH (cm)</w:t>
            </w:r>
          </w:p>
        </w:tc>
        <w:tc>
          <w:tcPr>
            <w:tcW w:w="1440"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HEIGHT (cm)</w:t>
            </w:r>
          </w:p>
        </w:tc>
        <w:tc>
          <w:tcPr>
            <w:tcW w:w="4428"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VOLUME (cm</w:t>
            </w:r>
            <w:r w:rsidRPr="0031234A">
              <w:rPr>
                <w:rFonts w:asciiTheme="minorHAnsi" w:hAnsiTheme="minorHAnsi"/>
                <w:b/>
                <w:sz w:val="22"/>
                <w:szCs w:val="22"/>
                <w:vertAlign w:val="superscript"/>
              </w:rPr>
              <w:t>3</w:t>
            </w:r>
            <w:r w:rsidRPr="0031234A">
              <w:rPr>
                <w:rFonts w:asciiTheme="minorHAnsi" w:hAnsiTheme="minorHAnsi"/>
                <w:b/>
                <w:sz w:val="22"/>
                <w:szCs w:val="22"/>
              </w:rPr>
              <w:t>) – show work</w:t>
            </w:r>
          </w:p>
        </w:tc>
      </w:tr>
      <w:tr w:rsidR="0031234A" w:rsidRPr="0031234A" w:rsidTr="00B666B8">
        <w:tc>
          <w:tcPr>
            <w:tcW w:w="2203" w:type="dxa"/>
          </w:tcPr>
          <w:p w:rsidR="0031234A" w:rsidRPr="0031234A" w:rsidRDefault="0031234A" w:rsidP="00B666B8">
            <w:pPr>
              <w:rPr>
                <w:rFonts w:asciiTheme="minorHAnsi" w:hAnsiTheme="minorHAnsi"/>
                <w:sz w:val="22"/>
                <w:szCs w:val="22"/>
              </w:rPr>
            </w:pPr>
          </w:p>
        </w:tc>
        <w:tc>
          <w:tcPr>
            <w:tcW w:w="1505" w:type="dxa"/>
          </w:tcPr>
          <w:p w:rsidR="0031234A" w:rsidRPr="0031234A" w:rsidRDefault="0031234A" w:rsidP="00B666B8">
            <w:pPr>
              <w:rPr>
                <w:rFonts w:asciiTheme="minorHAnsi" w:hAnsiTheme="minorHAnsi"/>
                <w:sz w:val="22"/>
                <w:szCs w:val="22"/>
              </w:rPr>
            </w:pPr>
          </w:p>
        </w:tc>
        <w:tc>
          <w:tcPr>
            <w:tcW w:w="1440" w:type="dxa"/>
          </w:tcPr>
          <w:p w:rsidR="0031234A" w:rsidRPr="0031234A" w:rsidRDefault="0031234A" w:rsidP="00B666B8">
            <w:pPr>
              <w:rPr>
                <w:rFonts w:asciiTheme="minorHAnsi" w:hAnsiTheme="minorHAnsi"/>
                <w:sz w:val="22"/>
                <w:szCs w:val="22"/>
              </w:rPr>
            </w:pPr>
          </w:p>
        </w:tc>
        <w:tc>
          <w:tcPr>
            <w:tcW w:w="1440" w:type="dxa"/>
          </w:tcPr>
          <w:p w:rsidR="0031234A" w:rsidRPr="0031234A" w:rsidRDefault="0031234A" w:rsidP="00B666B8">
            <w:pPr>
              <w:rPr>
                <w:rFonts w:asciiTheme="minorHAnsi" w:hAnsiTheme="minorHAnsi"/>
                <w:sz w:val="22"/>
                <w:szCs w:val="22"/>
              </w:rPr>
            </w:pPr>
          </w:p>
        </w:tc>
        <w:tc>
          <w:tcPr>
            <w:tcW w:w="4428" w:type="dxa"/>
          </w:tcPr>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Pr="0031234A" w:rsidRDefault="0031234A" w:rsidP="00B666B8">
            <w:pPr>
              <w:rPr>
                <w:rFonts w:asciiTheme="minorHAnsi" w:hAnsiTheme="minorHAnsi"/>
                <w:sz w:val="22"/>
                <w:szCs w:val="22"/>
              </w:rPr>
            </w:pPr>
          </w:p>
        </w:tc>
      </w:tr>
      <w:tr w:rsidR="0031234A" w:rsidRPr="0031234A" w:rsidTr="00B666B8">
        <w:tc>
          <w:tcPr>
            <w:tcW w:w="2203" w:type="dxa"/>
          </w:tcPr>
          <w:p w:rsidR="0031234A" w:rsidRPr="0031234A" w:rsidRDefault="0031234A" w:rsidP="00B666B8">
            <w:pPr>
              <w:rPr>
                <w:rFonts w:asciiTheme="minorHAnsi" w:hAnsiTheme="minorHAnsi"/>
                <w:sz w:val="22"/>
                <w:szCs w:val="22"/>
              </w:rPr>
            </w:pPr>
          </w:p>
        </w:tc>
        <w:tc>
          <w:tcPr>
            <w:tcW w:w="1505" w:type="dxa"/>
          </w:tcPr>
          <w:p w:rsidR="0031234A" w:rsidRPr="0031234A" w:rsidRDefault="0031234A" w:rsidP="00B666B8">
            <w:pPr>
              <w:rPr>
                <w:rFonts w:asciiTheme="minorHAnsi" w:hAnsiTheme="minorHAnsi"/>
                <w:sz w:val="22"/>
                <w:szCs w:val="22"/>
              </w:rPr>
            </w:pPr>
          </w:p>
        </w:tc>
        <w:tc>
          <w:tcPr>
            <w:tcW w:w="1440" w:type="dxa"/>
          </w:tcPr>
          <w:p w:rsidR="0031234A" w:rsidRPr="0031234A" w:rsidRDefault="0031234A" w:rsidP="00B666B8">
            <w:pPr>
              <w:rPr>
                <w:rFonts w:asciiTheme="minorHAnsi" w:hAnsiTheme="minorHAnsi"/>
                <w:sz w:val="22"/>
                <w:szCs w:val="22"/>
              </w:rPr>
            </w:pPr>
          </w:p>
        </w:tc>
        <w:tc>
          <w:tcPr>
            <w:tcW w:w="1440" w:type="dxa"/>
          </w:tcPr>
          <w:p w:rsidR="0031234A" w:rsidRPr="0031234A" w:rsidRDefault="0031234A" w:rsidP="00B666B8">
            <w:pPr>
              <w:rPr>
                <w:rFonts w:asciiTheme="minorHAnsi" w:hAnsiTheme="minorHAnsi"/>
                <w:sz w:val="22"/>
                <w:szCs w:val="22"/>
              </w:rPr>
            </w:pPr>
          </w:p>
        </w:tc>
        <w:tc>
          <w:tcPr>
            <w:tcW w:w="4428" w:type="dxa"/>
          </w:tcPr>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Pr="0031234A" w:rsidRDefault="0031234A" w:rsidP="00B666B8">
            <w:pPr>
              <w:rPr>
                <w:rFonts w:asciiTheme="minorHAnsi" w:hAnsiTheme="minorHAnsi"/>
                <w:sz w:val="22"/>
                <w:szCs w:val="22"/>
              </w:rPr>
            </w:pPr>
          </w:p>
        </w:tc>
      </w:tr>
    </w:tbl>
    <w:p w:rsidR="0031234A" w:rsidRDefault="0031234A" w:rsidP="0031234A"/>
    <w:p w:rsidR="0031234A" w:rsidRPr="0031234A" w:rsidRDefault="0031234A" w:rsidP="0031234A">
      <w:pPr>
        <w:rPr>
          <w:u w:val="single"/>
        </w:rPr>
      </w:pPr>
      <w:r w:rsidRPr="0031234A">
        <w:rPr>
          <w:u w:val="single"/>
        </w:rPr>
        <w:t>DENSITY</w:t>
      </w:r>
    </w:p>
    <w:tbl>
      <w:tblPr>
        <w:tblStyle w:val="TableGrid"/>
        <w:tblW w:w="0" w:type="auto"/>
        <w:tblLook w:val="01E0"/>
      </w:tblPr>
      <w:tblGrid>
        <w:gridCol w:w="1994"/>
        <w:gridCol w:w="1305"/>
        <w:gridCol w:w="1505"/>
        <w:gridCol w:w="4772"/>
      </w:tblGrid>
      <w:tr w:rsidR="0031234A" w:rsidRPr="0031234A" w:rsidTr="00B666B8">
        <w:tc>
          <w:tcPr>
            <w:tcW w:w="2268"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CANDY</w:t>
            </w:r>
          </w:p>
        </w:tc>
        <w:tc>
          <w:tcPr>
            <w:tcW w:w="1440"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MASS (g)</w:t>
            </w:r>
          </w:p>
        </w:tc>
        <w:tc>
          <w:tcPr>
            <w:tcW w:w="1620"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VOLUME (cm</w:t>
            </w:r>
            <w:r w:rsidRPr="0031234A">
              <w:rPr>
                <w:rFonts w:asciiTheme="minorHAnsi" w:hAnsiTheme="minorHAnsi"/>
                <w:b/>
                <w:sz w:val="22"/>
                <w:szCs w:val="22"/>
                <w:vertAlign w:val="superscript"/>
              </w:rPr>
              <w:t>3</w:t>
            </w:r>
            <w:r w:rsidRPr="0031234A">
              <w:rPr>
                <w:rFonts w:asciiTheme="minorHAnsi" w:hAnsiTheme="minorHAnsi"/>
                <w:b/>
                <w:sz w:val="22"/>
                <w:szCs w:val="22"/>
              </w:rPr>
              <w:t>)</w:t>
            </w:r>
          </w:p>
        </w:tc>
        <w:tc>
          <w:tcPr>
            <w:tcW w:w="5688"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DENSITY (g/cm3) – show work</w:t>
            </w:r>
          </w:p>
        </w:tc>
      </w:tr>
      <w:tr w:rsidR="0031234A" w:rsidRPr="0031234A" w:rsidTr="00B666B8">
        <w:tc>
          <w:tcPr>
            <w:tcW w:w="2268" w:type="dxa"/>
          </w:tcPr>
          <w:p w:rsidR="0031234A" w:rsidRPr="0031234A" w:rsidRDefault="0031234A" w:rsidP="00B666B8">
            <w:pPr>
              <w:rPr>
                <w:rFonts w:asciiTheme="minorHAnsi" w:hAnsiTheme="minorHAnsi"/>
                <w:sz w:val="22"/>
                <w:szCs w:val="22"/>
              </w:rPr>
            </w:pPr>
          </w:p>
        </w:tc>
        <w:tc>
          <w:tcPr>
            <w:tcW w:w="1440" w:type="dxa"/>
          </w:tcPr>
          <w:p w:rsidR="0031234A" w:rsidRPr="0031234A" w:rsidRDefault="0031234A" w:rsidP="00B666B8">
            <w:pPr>
              <w:rPr>
                <w:rFonts w:asciiTheme="minorHAnsi" w:hAnsiTheme="minorHAnsi"/>
                <w:sz w:val="22"/>
                <w:szCs w:val="22"/>
              </w:rPr>
            </w:pPr>
          </w:p>
        </w:tc>
        <w:tc>
          <w:tcPr>
            <w:tcW w:w="1620" w:type="dxa"/>
          </w:tcPr>
          <w:p w:rsidR="0031234A" w:rsidRPr="0031234A" w:rsidRDefault="0031234A" w:rsidP="00B666B8">
            <w:pPr>
              <w:rPr>
                <w:rFonts w:asciiTheme="minorHAnsi" w:hAnsiTheme="minorHAnsi"/>
                <w:sz w:val="22"/>
                <w:szCs w:val="22"/>
              </w:rPr>
            </w:pPr>
          </w:p>
        </w:tc>
        <w:tc>
          <w:tcPr>
            <w:tcW w:w="5688" w:type="dxa"/>
          </w:tcPr>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Pr="0031234A" w:rsidRDefault="0031234A" w:rsidP="00B666B8">
            <w:pPr>
              <w:rPr>
                <w:rFonts w:asciiTheme="minorHAnsi" w:hAnsiTheme="minorHAnsi"/>
                <w:sz w:val="22"/>
                <w:szCs w:val="22"/>
              </w:rPr>
            </w:pPr>
          </w:p>
        </w:tc>
      </w:tr>
      <w:tr w:rsidR="0031234A" w:rsidRPr="0031234A" w:rsidTr="00B666B8">
        <w:tc>
          <w:tcPr>
            <w:tcW w:w="2268" w:type="dxa"/>
          </w:tcPr>
          <w:p w:rsidR="0031234A" w:rsidRPr="0031234A" w:rsidRDefault="0031234A" w:rsidP="00B666B8">
            <w:pPr>
              <w:rPr>
                <w:rFonts w:asciiTheme="minorHAnsi" w:hAnsiTheme="minorHAnsi"/>
                <w:sz w:val="22"/>
                <w:szCs w:val="22"/>
              </w:rPr>
            </w:pPr>
          </w:p>
        </w:tc>
        <w:tc>
          <w:tcPr>
            <w:tcW w:w="1440" w:type="dxa"/>
          </w:tcPr>
          <w:p w:rsidR="0031234A" w:rsidRPr="0031234A" w:rsidRDefault="0031234A" w:rsidP="00B666B8">
            <w:pPr>
              <w:rPr>
                <w:rFonts w:asciiTheme="minorHAnsi" w:hAnsiTheme="minorHAnsi"/>
                <w:sz w:val="22"/>
                <w:szCs w:val="22"/>
              </w:rPr>
            </w:pPr>
          </w:p>
        </w:tc>
        <w:tc>
          <w:tcPr>
            <w:tcW w:w="1620" w:type="dxa"/>
          </w:tcPr>
          <w:p w:rsidR="0031234A" w:rsidRPr="0031234A" w:rsidRDefault="0031234A" w:rsidP="00B666B8">
            <w:pPr>
              <w:rPr>
                <w:rFonts w:asciiTheme="minorHAnsi" w:hAnsiTheme="minorHAnsi"/>
                <w:sz w:val="22"/>
                <w:szCs w:val="22"/>
              </w:rPr>
            </w:pPr>
          </w:p>
        </w:tc>
        <w:tc>
          <w:tcPr>
            <w:tcW w:w="5688" w:type="dxa"/>
          </w:tcPr>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Default="0031234A" w:rsidP="00B666B8">
            <w:pPr>
              <w:rPr>
                <w:rFonts w:asciiTheme="minorHAnsi" w:hAnsiTheme="minorHAnsi"/>
                <w:sz w:val="22"/>
                <w:szCs w:val="22"/>
              </w:rPr>
            </w:pPr>
          </w:p>
          <w:p w:rsidR="0031234A" w:rsidRPr="0031234A" w:rsidRDefault="0031234A" w:rsidP="00B666B8">
            <w:pPr>
              <w:rPr>
                <w:rFonts w:asciiTheme="minorHAnsi" w:hAnsiTheme="minorHAnsi"/>
                <w:sz w:val="22"/>
                <w:szCs w:val="22"/>
              </w:rPr>
            </w:pPr>
          </w:p>
        </w:tc>
      </w:tr>
    </w:tbl>
    <w:p w:rsidR="0031234A" w:rsidRPr="0031234A" w:rsidRDefault="0031234A" w:rsidP="0031234A"/>
    <w:p w:rsidR="0033441F" w:rsidRDefault="0033441F" w:rsidP="0031234A">
      <w:pPr>
        <w:rPr>
          <w:u w:val="single"/>
        </w:rPr>
      </w:pPr>
    </w:p>
    <w:p w:rsidR="0033441F" w:rsidRDefault="0033441F" w:rsidP="0031234A">
      <w:pPr>
        <w:rPr>
          <w:u w:val="single"/>
        </w:rPr>
      </w:pPr>
    </w:p>
    <w:p w:rsidR="0031234A" w:rsidRPr="0031234A" w:rsidRDefault="0031234A" w:rsidP="0031234A">
      <w:pPr>
        <w:rPr>
          <w:u w:val="single"/>
        </w:rPr>
      </w:pPr>
      <w:r w:rsidRPr="0031234A">
        <w:rPr>
          <w:u w:val="single"/>
        </w:rPr>
        <w:lastRenderedPageBreak/>
        <w:t>WATER TEST</w:t>
      </w:r>
    </w:p>
    <w:tbl>
      <w:tblPr>
        <w:tblStyle w:val="TableGrid"/>
        <w:tblW w:w="0" w:type="auto"/>
        <w:tblLook w:val="01E0"/>
      </w:tblPr>
      <w:tblGrid>
        <w:gridCol w:w="3107"/>
        <w:gridCol w:w="3203"/>
        <w:gridCol w:w="3266"/>
      </w:tblGrid>
      <w:tr w:rsidR="0031234A" w:rsidRPr="0031234A" w:rsidTr="00B666B8">
        <w:tc>
          <w:tcPr>
            <w:tcW w:w="3672"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CANDY</w:t>
            </w:r>
          </w:p>
        </w:tc>
        <w:tc>
          <w:tcPr>
            <w:tcW w:w="3672"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PREDICTION (sink or float)</w:t>
            </w:r>
          </w:p>
        </w:tc>
        <w:tc>
          <w:tcPr>
            <w:tcW w:w="3672" w:type="dxa"/>
          </w:tcPr>
          <w:p w:rsidR="0031234A" w:rsidRPr="0031234A" w:rsidRDefault="0031234A" w:rsidP="00B666B8">
            <w:pPr>
              <w:jc w:val="center"/>
              <w:rPr>
                <w:rFonts w:asciiTheme="minorHAnsi" w:hAnsiTheme="minorHAnsi"/>
                <w:b/>
                <w:sz w:val="22"/>
                <w:szCs w:val="22"/>
              </w:rPr>
            </w:pPr>
            <w:r w:rsidRPr="0031234A">
              <w:rPr>
                <w:rFonts w:asciiTheme="minorHAnsi" w:hAnsiTheme="minorHAnsi"/>
                <w:b/>
                <w:sz w:val="22"/>
                <w:szCs w:val="22"/>
              </w:rPr>
              <w:t>OBSERVATIONS (sink or float)</w:t>
            </w:r>
          </w:p>
        </w:tc>
      </w:tr>
      <w:tr w:rsidR="0031234A" w:rsidRPr="0031234A" w:rsidTr="00B666B8">
        <w:tc>
          <w:tcPr>
            <w:tcW w:w="3672" w:type="dxa"/>
          </w:tcPr>
          <w:p w:rsidR="0031234A" w:rsidRPr="0031234A" w:rsidRDefault="0031234A" w:rsidP="00B666B8">
            <w:pPr>
              <w:rPr>
                <w:rFonts w:asciiTheme="minorHAnsi" w:hAnsiTheme="minorHAnsi"/>
                <w:sz w:val="22"/>
                <w:szCs w:val="22"/>
              </w:rPr>
            </w:pPr>
          </w:p>
        </w:tc>
        <w:tc>
          <w:tcPr>
            <w:tcW w:w="3672" w:type="dxa"/>
          </w:tcPr>
          <w:p w:rsidR="0031234A" w:rsidRPr="0031234A" w:rsidRDefault="0031234A" w:rsidP="00B666B8">
            <w:pPr>
              <w:rPr>
                <w:rFonts w:asciiTheme="minorHAnsi" w:hAnsiTheme="minorHAnsi"/>
                <w:sz w:val="22"/>
                <w:szCs w:val="22"/>
              </w:rPr>
            </w:pPr>
          </w:p>
        </w:tc>
        <w:tc>
          <w:tcPr>
            <w:tcW w:w="3672" w:type="dxa"/>
          </w:tcPr>
          <w:p w:rsidR="0031234A" w:rsidRPr="0031234A" w:rsidRDefault="0031234A" w:rsidP="00B666B8">
            <w:pPr>
              <w:rPr>
                <w:rFonts w:asciiTheme="minorHAnsi" w:hAnsiTheme="minorHAnsi"/>
                <w:sz w:val="22"/>
                <w:szCs w:val="22"/>
              </w:rPr>
            </w:pPr>
          </w:p>
        </w:tc>
      </w:tr>
      <w:tr w:rsidR="0031234A" w:rsidRPr="0031234A" w:rsidTr="00B666B8">
        <w:tc>
          <w:tcPr>
            <w:tcW w:w="3672" w:type="dxa"/>
          </w:tcPr>
          <w:p w:rsidR="0031234A" w:rsidRPr="0031234A" w:rsidRDefault="0031234A" w:rsidP="00B666B8">
            <w:pPr>
              <w:rPr>
                <w:rFonts w:asciiTheme="minorHAnsi" w:hAnsiTheme="minorHAnsi"/>
                <w:sz w:val="22"/>
                <w:szCs w:val="22"/>
              </w:rPr>
            </w:pPr>
          </w:p>
        </w:tc>
        <w:tc>
          <w:tcPr>
            <w:tcW w:w="3672" w:type="dxa"/>
          </w:tcPr>
          <w:p w:rsidR="0031234A" w:rsidRPr="0031234A" w:rsidRDefault="0031234A" w:rsidP="00B666B8">
            <w:pPr>
              <w:rPr>
                <w:rFonts w:asciiTheme="minorHAnsi" w:hAnsiTheme="minorHAnsi"/>
                <w:sz w:val="22"/>
                <w:szCs w:val="22"/>
              </w:rPr>
            </w:pPr>
          </w:p>
        </w:tc>
        <w:tc>
          <w:tcPr>
            <w:tcW w:w="3672" w:type="dxa"/>
          </w:tcPr>
          <w:p w:rsidR="0031234A" w:rsidRPr="0031234A" w:rsidRDefault="0031234A" w:rsidP="00B666B8">
            <w:pPr>
              <w:rPr>
                <w:rFonts w:asciiTheme="minorHAnsi" w:hAnsiTheme="minorHAnsi"/>
                <w:sz w:val="22"/>
                <w:szCs w:val="22"/>
              </w:rPr>
            </w:pPr>
          </w:p>
        </w:tc>
      </w:tr>
    </w:tbl>
    <w:p w:rsidR="00BB4686" w:rsidRDefault="00BB4686" w:rsidP="0031234A">
      <w:pPr>
        <w:rPr>
          <w:u w:val="single"/>
        </w:rPr>
      </w:pPr>
    </w:p>
    <w:p w:rsidR="0031234A" w:rsidRPr="0031234A" w:rsidRDefault="0031234A" w:rsidP="0031234A">
      <w:r w:rsidRPr="0031234A">
        <w:rPr>
          <w:u w:val="single"/>
        </w:rPr>
        <w:t>WHAT’S INSIDE</w:t>
      </w:r>
      <w:r w:rsidRPr="0031234A">
        <w:tab/>
        <w:t xml:space="preserve">     </w:t>
      </w:r>
      <w:r w:rsidRPr="0031234A">
        <w:rPr>
          <w:b/>
        </w:rPr>
        <w:t>Snickers</w:t>
      </w:r>
      <w:r w:rsidRPr="0031234A">
        <w:rPr>
          <w:b/>
        </w:rPr>
        <w:tab/>
      </w:r>
      <w:r w:rsidRPr="0031234A">
        <w:rPr>
          <w:b/>
        </w:rPr>
        <w:tab/>
      </w:r>
      <w:r w:rsidRPr="0031234A">
        <w:rPr>
          <w:b/>
        </w:rPr>
        <w:tab/>
        <w:t xml:space="preserve">     Three Musketeers</w:t>
      </w:r>
    </w:p>
    <w:p w:rsidR="0031234A" w:rsidRPr="0031234A" w:rsidRDefault="004B66D6" w:rsidP="0031234A">
      <w:r>
        <w:rPr>
          <w:noProof/>
        </w:rPr>
        <w:pict>
          <v:rect id="_x0000_s1032" style="position:absolute;margin-left:206.75pt;margin-top:2.35pt;width:193.85pt;height:106.95pt;z-index:251686912"/>
        </w:pict>
      </w:r>
      <w:r>
        <w:rPr>
          <w:noProof/>
        </w:rPr>
        <w:pict>
          <v:rect id="_x0000_s1028" style="position:absolute;margin-left:-4.6pt;margin-top:2.35pt;width:193.85pt;height:106.95pt;z-index:251682816"/>
        </w:pict>
      </w:r>
    </w:p>
    <w:p w:rsidR="0031234A" w:rsidRPr="0031234A" w:rsidRDefault="0031234A" w:rsidP="0031234A"/>
    <w:p w:rsidR="0031234A" w:rsidRPr="0031234A" w:rsidRDefault="0031234A" w:rsidP="0031234A"/>
    <w:p w:rsidR="0031234A" w:rsidRPr="0031234A" w:rsidRDefault="0031234A" w:rsidP="0031234A"/>
    <w:p w:rsidR="0031234A" w:rsidRPr="0031234A" w:rsidRDefault="0031234A" w:rsidP="0031234A"/>
    <w:p w:rsidR="0031234A" w:rsidRPr="0031234A" w:rsidRDefault="0031234A" w:rsidP="0031234A">
      <w:r w:rsidRPr="0031234A">
        <w:rPr>
          <w:b/>
          <w:u w:val="single"/>
        </w:rPr>
        <w:t>ANALYSIS</w:t>
      </w:r>
      <w:r w:rsidRPr="0031234A">
        <w:t>:  (Answer using complete sentences and actual data.)</w:t>
      </w:r>
    </w:p>
    <w:p w:rsidR="0031234A" w:rsidRPr="0031234A" w:rsidRDefault="0031234A" w:rsidP="0031234A">
      <w:pPr>
        <w:numPr>
          <w:ilvl w:val="0"/>
          <w:numId w:val="4"/>
        </w:numPr>
        <w:spacing w:after="0" w:line="240" w:lineRule="auto"/>
      </w:pPr>
      <w:r w:rsidRPr="0031234A">
        <w:t xml:space="preserve">Which </w:t>
      </w:r>
      <w:r>
        <w:t xml:space="preserve">candy bar </w:t>
      </w:r>
      <w:r w:rsidR="000A4EFF">
        <w:t xml:space="preserve">is </w:t>
      </w:r>
      <w:proofErr w:type="gramStart"/>
      <w:r w:rsidR="000A4EFF">
        <w:t>more dense</w:t>
      </w:r>
      <w:proofErr w:type="gramEnd"/>
      <w:r w:rsidRPr="0031234A">
        <w:t xml:space="preserve">?  Explain how you know using actual data and by comparing the two. </w:t>
      </w:r>
      <w:r>
        <w:t xml:space="preserve"> </w:t>
      </w:r>
    </w:p>
    <w:p w:rsidR="0031234A" w:rsidRPr="0031234A" w:rsidRDefault="0031234A" w:rsidP="0031234A"/>
    <w:p w:rsidR="0031234A" w:rsidRPr="0031234A" w:rsidRDefault="0031234A" w:rsidP="0031234A"/>
    <w:p w:rsidR="0031234A" w:rsidRPr="0031234A" w:rsidRDefault="0031234A" w:rsidP="0031234A">
      <w:pPr>
        <w:numPr>
          <w:ilvl w:val="0"/>
          <w:numId w:val="4"/>
        </w:numPr>
        <w:spacing w:after="0" w:line="240" w:lineRule="auto"/>
      </w:pPr>
      <w:r w:rsidRPr="0031234A">
        <w:t>What do you predict is the cause of the difference in densi</w:t>
      </w:r>
      <w:r>
        <w:t xml:space="preserve">ties between the two candy bars? </w:t>
      </w:r>
      <w:r w:rsidRPr="0031234A">
        <w:t>Explain.</w:t>
      </w:r>
    </w:p>
    <w:p w:rsidR="0031234A" w:rsidRPr="0031234A" w:rsidRDefault="0031234A" w:rsidP="0031234A"/>
    <w:p w:rsidR="0031234A" w:rsidRPr="0031234A" w:rsidRDefault="0031234A" w:rsidP="0031234A"/>
    <w:p w:rsidR="0031234A" w:rsidRPr="0031234A" w:rsidRDefault="0031234A" w:rsidP="0031234A">
      <w:pPr>
        <w:numPr>
          <w:ilvl w:val="0"/>
          <w:numId w:val="4"/>
        </w:numPr>
        <w:spacing w:after="0" w:line="240" w:lineRule="auto"/>
      </w:pPr>
      <w:r w:rsidRPr="0031234A">
        <w:t>Draw and label a subatomic picture of the two pieces of candy.  You can use dots to represent the molecules.</w:t>
      </w:r>
    </w:p>
    <w:p w:rsidR="0031234A" w:rsidRPr="0031234A" w:rsidRDefault="0031234A" w:rsidP="0031234A">
      <w:pPr>
        <w:ind w:left="2160"/>
        <w:rPr>
          <w:b/>
        </w:rPr>
      </w:pPr>
      <w:r w:rsidRPr="0031234A">
        <w:rPr>
          <w:b/>
        </w:rPr>
        <w:t xml:space="preserve">   Snickers</w:t>
      </w:r>
      <w:r w:rsidRPr="0031234A">
        <w:rPr>
          <w:b/>
        </w:rPr>
        <w:tab/>
      </w:r>
      <w:r w:rsidRPr="0031234A">
        <w:rPr>
          <w:b/>
        </w:rPr>
        <w:tab/>
      </w:r>
      <w:r w:rsidRPr="0031234A">
        <w:rPr>
          <w:b/>
        </w:rPr>
        <w:tab/>
        <w:t xml:space="preserve">       Three Musketeers</w:t>
      </w:r>
    </w:p>
    <w:p w:rsidR="0031234A" w:rsidRPr="0031234A" w:rsidRDefault="004B66D6" w:rsidP="0031234A">
      <w:pPr>
        <w:ind w:left="2160"/>
      </w:pPr>
      <w:r>
        <w:rPr>
          <w:noProof/>
        </w:rPr>
        <w:pict>
          <v:rect id="_x0000_s1033" style="position:absolute;left:0;text-align:left;margin-left:262.1pt;margin-top:4.4pt;width:151.4pt;height:90.4pt;z-index:251687936"/>
        </w:pict>
      </w:r>
      <w:r>
        <w:rPr>
          <w:noProof/>
        </w:rPr>
        <w:pict>
          <v:rect id="_x0000_s1030" style="position:absolute;left:0;text-align:left;margin-left:28.6pt;margin-top:4.4pt;width:151.4pt;height:90.4pt;z-index:251684864"/>
        </w:pict>
      </w:r>
    </w:p>
    <w:p w:rsidR="0031234A" w:rsidRPr="0031234A" w:rsidRDefault="0031234A" w:rsidP="0031234A"/>
    <w:p w:rsidR="0031234A" w:rsidRDefault="0031234A" w:rsidP="0031234A">
      <w:pPr>
        <w:rPr>
          <w:rFonts w:ascii="Arial Narrow" w:hAnsi="Arial Narrow"/>
        </w:rPr>
      </w:pPr>
    </w:p>
    <w:p w:rsidR="00B9538B" w:rsidRDefault="00B9538B" w:rsidP="00E92351">
      <w:pPr>
        <w:rPr>
          <w:b/>
        </w:rPr>
      </w:pPr>
    </w:p>
    <w:sectPr w:rsidR="00B9538B" w:rsidSect="00C856C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AA7" w:rsidRDefault="00EA5AA7" w:rsidP="0031234A">
      <w:pPr>
        <w:spacing w:after="0" w:line="240" w:lineRule="auto"/>
      </w:pPr>
      <w:r>
        <w:separator/>
      </w:r>
    </w:p>
  </w:endnote>
  <w:endnote w:type="continuationSeparator" w:id="1">
    <w:p w:rsidR="00EA5AA7" w:rsidRDefault="00EA5AA7" w:rsidP="0031234A">
      <w:pPr>
        <w:spacing w:after="0" w:line="240" w:lineRule="auto"/>
      </w:pPr>
      <w:r>
        <w:continuationSeparator/>
      </w:r>
    </w:p>
  </w:endnote>
  <w:endnote w:id="2">
    <w:p w:rsidR="0031234A" w:rsidRPr="00BC77A8" w:rsidRDefault="0031234A" w:rsidP="00BC77A8">
      <w:pPr>
        <w:pStyle w:val="NormalWeb"/>
        <w:ind w:left="720" w:hanging="720"/>
        <w:rPr>
          <w:color w:val="666666"/>
          <w:sz w:val="15"/>
          <w:szCs w:val="15"/>
        </w:rPr>
      </w:pPr>
      <w:r>
        <w:rPr>
          <w:rStyle w:val="EndnoteReference"/>
        </w:rPr>
        <w:endnoteRef/>
      </w:r>
      <w:r>
        <w:t xml:space="preserve"> </w:t>
      </w:r>
      <w:proofErr w:type="spellStart"/>
      <w:r w:rsidRPr="00C46638">
        <w:rPr>
          <w:color w:val="666666"/>
          <w:sz w:val="16"/>
          <w:szCs w:val="16"/>
        </w:rPr>
        <w:t>Looper</w:t>
      </w:r>
      <w:proofErr w:type="spellEnd"/>
      <w:r w:rsidRPr="00C46638">
        <w:rPr>
          <w:color w:val="666666"/>
          <w:sz w:val="16"/>
          <w:szCs w:val="16"/>
        </w:rPr>
        <w:t xml:space="preserve">, Jim (2008).How Sweet it Is, Lab. </w:t>
      </w:r>
      <w:r w:rsidRPr="00C46638">
        <w:rPr>
          <w:i/>
          <w:iCs/>
          <w:color w:val="666666"/>
          <w:sz w:val="16"/>
          <w:szCs w:val="16"/>
        </w:rPr>
        <w:t>Sheldon High School Science Dept.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D1" w:rsidRDefault="00724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D1" w:rsidRDefault="007246D1">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246D1" w:rsidTr="007246D1">
      <w:tc>
        <w:tcPr>
          <w:tcW w:w="993" w:type="dxa"/>
          <w:tcBorders>
            <w:top w:val="single" w:sz="18" w:space="0" w:color="808080" w:themeColor="background1" w:themeShade="80"/>
            <w:left w:val="nil"/>
            <w:bottom w:val="nil"/>
            <w:right w:val="single" w:sz="18" w:space="0" w:color="808080" w:themeColor="background1" w:themeShade="80"/>
          </w:tcBorders>
          <w:hideMark/>
        </w:tcPr>
        <w:p w:rsidR="007246D1" w:rsidRPr="00AD419A" w:rsidRDefault="004B66D6">
          <w:pPr>
            <w:pStyle w:val="Footer"/>
            <w:spacing w:line="276" w:lineRule="auto"/>
            <w:jc w:val="right"/>
            <w:rPr>
              <w:rFonts w:eastAsia="Times New Roman"/>
              <w:b/>
              <w:color w:val="4F81BD" w:themeColor="accent1"/>
              <w:sz w:val="32"/>
              <w:szCs w:val="32"/>
            </w:rPr>
          </w:pPr>
          <w:r w:rsidRPr="00AD419A">
            <w:rPr>
              <w:sz w:val="32"/>
              <w:szCs w:val="32"/>
            </w:rPr>
            <w:fldChar w:fldCharType="begin"/>
          </w:r>
          <w:r w:rsidR="00E96369" w:rsidRPr="00AD419A">
            <w:rPr>
              <w:sz w:val="32"/>
              <w:szCs w:val="32"/>
            </w:rPr>
            <w:instrText xml:space="preserve"> PAGE   \* MERGEFORMAT </w:instrText>
          </w:r>
          <w:r w:rsidRPr="00AD419A">
            <w:rPr>
              <w:sz w:val="32"/>
              <w:szCs w:val="32"/>
            </w:rPr>
            <w:fldChar w:fldCharType="separate"/>
          </w:r>
          <w:r w:rsidR="00BB4686" w:rsidRPr="00BB4686">
            <w:rPr>
              <w:b/>
              <w:noProof/>
              <w:color w:val="4F81BD" w:themeColor="accent1"/>
              <w:sz w:val="32"/>
              <w:szCs w:val="32"/>
            </w:rPr>
            <w:t>3</w:t>
          </w:r>
          <w:r w:rsidRPr="00AD419A">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7246D1" w:rsidRPr="00AD419A" w:rsidRDefault="00000991">
          <w:pPr>
            <w:pStyle w:val="Footer"/>
            <w:spacing w:line="276" w:lineRule="auto"/>
            <w:jc w:val="right"/>
            <w:rPr>
              <w:rFonts w:eastAsia="Times New Roman"/>
              <w:b/>
              <w:sz w:val="32"/>
              <w:szCs w:val="32"/>
            </w:rPr>
          </w:pPr>
          <w:r w:rsidRPr="00AD419A">
            <w:rPr>
              <w:b/>
              <w:sz w:val="32"/>
              <w:szCs w:val="32"/>
            </w:rPr>
            <w:t>LAB B-8</w:t>
          </w:r>
        </w:p>
      </w:tc>
    </w:tr>
  </w:tbl>
  <w:p w:rsidR="007246D1" w:rsidRDefault="007246D1" w:rsidP="002A5E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D1" w:rsidRDefault="00724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AA7" w:rsidRDefault="00EA5AA7" w:rsidP="0031234A">
      <w:pPr>
        <w:spacing w:after="0" w:line="240" w:lineRule="auto"/>
      </w:pPr>
      <w:r>
        <w:separator/>
      </w:r>
    </w:p>
  </w:footnote>
  <w:footnote w:type="continuationSeparator" w:id="1">
    <w:p w:rsidR="00EA5AA7" w:rsidRDefault="00EA5AA7" w:rsidP="00312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D1" w:rsidRDefault="007246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D1" w:rsidRPr="002A5EB3" w:rsidRDefault="007246D1" w:rsidP="002A5E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6D1" w:rsidRDefault="00724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0DD4"/>
    <w:multiLevelType w:val="hybridMultilevel"/>
    <w:tmpl w:val="7AAE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36E0A"/>
    <w:multiLevelType w:val="hybridMultilevel"/>
    <w:tmpl w:val="DB12DD9A"/>
    <w:lvl w:ilvl="0" w:tplc="3CCCE5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C36D19"/>
    <w:multiLevelType w:val="hybridMultilevel"/>
    <w:tmpl w:val="6DBEB0DA"/>
    <w:lvl w:ilvl="0" w:tplc="99A4C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210DC8"/>
    <w:multiLevelType w:val="hybridMultilevel"/>
    <w:tmpl w:val="481E3056"/>
    <w:lvl w:ilvl="0" w:tplc="3CCCE5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E92351"/>
    <w:rsid w:val="00000991"/>
    <w:rsid w:val="00092230"/>
    <w:rsid w:val="000A033D"/>
    <w:rsid w:val="000A4EFF"/>
    <w:rsid w:val="002A5EB3"/>
    <w:rsid w:val="0031234A"/>
    <w:rsid w:val="0033441F"/>
    <w:rsid w:val="00361341"/>
    <w:rsid w:val="00382C25"/>
    <w:rsid w:val="00481933"/>
    <w:rsid w:val="004B66D6"/>
    <w:rsid w:val="004C531A"/>
    <w:rsid w:val="0057105E"/>
    <w:rsid w:val="005D7245"/>
    <w:rsid w:val="006C7CF2"/>
    <w:rsid w:val="007246D1"/>
    <w:rsid w:val="00746626"/>
    <w:rsid w:val="007A3827"/>
    <w:rsid w:val="007D61D0"/>
    <w:rsid w:val="00805FD7"/>
    <w:rsid w:val="00882E5F"/>
    <w:rsid w:val="008B54A9"/>
    <w:rsid w:val="008D7C34"/>
    <w:rsid w:val="008E0A38"/>
    <w:rsid w:val="008E161B"/>
    <w:rsid w:val="00980372"/>
    <w:rsid w:val="009F2FD2"/>
    <w:rsid w:val="00A7306E"/>
    <w:rsid w:val="00A76ADC"/>
    <w:rsid w:val="00A84477"/>
    <w:rsid w:val="00A90D45"/>
    <w:rsid w:val="00AD419A"/>
    <w:rsid w:val="00AD76E5"/>
    <w:rsid w:val="00B608A3"/>
    <w:rsid w:val="00B9538B"/>
    <w:rsid w:val="00BB4686"/>
    <w:rsid w:val="00BC77A8"/>
    <w:rsid w:val="00C46638"/>
    <w:rsid w:val="00C73ECF"/>
    <w:rsid w:val="00C83DB4"/>
    <w:rsid w:val="00C856C1"/>
    <w:rsid w:val="00D20C4E"/>
    <w:rsid w:val="00D65E7A"/>
    <w:rsid w:val="00E92351"/>
    <w:rsid w:val="00E96369"/>
    <w:rsid w:val="00EA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51"/>
  </w:style>
  <w:style w:type="paragraph" w:styleId="Heading1">
    <w:name w:val="heading 1"/>
    <w:basedOn w:val="Normal"/>
    <w:next w:val="Normal"/>
    <w:link w:val="Heading1Char"/>
    <w:uiPriority w:val="9"/>
    <w:qFormat/>
    <w:rsid w:val="00E92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35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92351"/>
    <w:pPr>
      <w:spacing w:after="0" w:line="240" w:lineRule="auto"/>
    </w:pPr>
  </w:style>
  <w:style w:type="table" w:styleId="TableGrid">
    <w:name w:val="Table Grid"/>
    <w:basedOn w:val="TableNormal"/>
    <w:rsid w:val="003123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123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234A"/>
    <w:rPr>
      <w:sz w:val="20"/>
      <w:szCs w:val="20"/>
    </w:rPr>
  </w:style>
  <w:style w:type="character" w:styleId="EndnoteReference">
    <w:name w:val="endnote reference"/>
    <w:basedOn w:val="DefaultParagraphFont"/>
    <w:uiPriority w:val="99"/>
    <w:semiHidden/>
    <w:unhideWhenUsed/>
    <w:rsid w:val="0031234A"/>
    <w:rPr>
      <w:vertAlign w:val="superscript"/>
    </w:rPr>
  </w:style>
  <w:style w:type="paragraph" w:styleId="NormalWeb">
    <w:name w:val="Normal (Web)"/>
    <w:basedOn w:val="Normal"/>
    <w:uiPriority w:val="99"/>
    <w:unhideWhenUsed/>
    <w:rsid w:val="003123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24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6D1"/>
  </w:style>
  <w:style w:type="paragraph" w:styleId="Footer">
    <w:name w:val="footer"/>
    <w:basedOn w:val="Normal"/>
    <w:link w:val="FooterChar"/>
    <w:uiPriority w:val="99"/>
    <w:unhideWhenUsed/>
    <w:rsid w:val="00724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6D1"/>
  </w:style>
  <w:style w:type="paragraph" w:styleId="BalloonText">
    <w:name w:val="Balloon Text"/>
    <w:basedOn w:val="Normal"/>
    <w:link w:val="BalloonTextChar"/>
    <w:uiPriority w:val="99"/>
    <w:semiHidden/>
    <w:unhideWhenUsed/>
    <w:rsid w:val="00724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3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10.1, C 10.2, C 13.3, and E 3.1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C14C9E6B-788E-4584-9513-CAD1C8F6A33A}">
      <dgm:prSet phldrT="[Text]" custT="1"/>
      <dgm:spPr/>
      <dgm:t>
        <a:bodyPr/>
        <a:lstStyle/>
        <a:p>
          <a:r>
            <a:rPr lang="en-US" sz="800"/>
            <a:t>(Foundation) 1.1 </a:t>
          </a:r>
          <a:r>
            <a:rPr lang="en-US" sz="800" i="0"/>
            <a:t>Mathematics, Specific Applications of Algebra I:  (10.0), (12.0), and (15.0). </a:t>
          </a:r>
          <a:endParaRPr lang="en-US" sz="800"/>
        </a:p>
      </dgm:t>
    </dgm:pt>
    <dgm:pt modelId="{68C3FFF1-9900-4C6D-833C-07766909F2E9}" type="parTrans" cxnId="{F169D4DE-33F1-41A7-BCBC-9EFEBF7648B6}">
      <dgm:prSet/>
      <dgm:spPr/>
    </dgm:pt>
    <dgm:pt modelId="{923667BD-92FB-4AD5-9714-AF61E199C117}" type="sibTrans" cxnId="{F169D4DE-33F1-41A7-BCBC-9EFEBF7648B6}">
      <dgm:prSet/>
      <dgm:spPr/>
    </dgm:pt>
    <dgm:pt modelId="{CB3D33E8-41AA-4783-9C29-C70BDEAE3CE7}">
      <dgm:prSet phldrT="[Text]" custT="1"/>
      <dgm:spPr/>
      <dgm:t>
        <a:bodyPr/>
        <a:lstStyle/>
        <a:p>
          <a:r>
            <a:rPr lang="en-US" sz="800"/>
            <a:t>(Foundation) 1.2 </a:t>
          </a:r>
          <a:r>
            <a:rPr lang="en-US" sz="800" i="0"/>
            <a:t>Science,</a:t>
          </a:r>
          <a:r>
            <a:rPr lang="en-US" sz="800" i="1"/>
            <a:t> </a:t>
          </a:r>
          <a:r>
            <a:rPr lang="en-US" sz="800" i="0"/>
            <a:t>Specific Applications of Investigation and Experimentation: </a:t>
          </a:r>
          <a:r>
            <a:rPr lang="en-US" sz="800"/>
            <a:t> </a:t>
          </a:r>
          <a:r>
            <a:rPr lang="en-US" sz="800" i="0"/>
            <a:t>(1.a) and (1.d). </a:t>
          </a:r>
          <a:endParaRPr lang="en-US" sz="800"/>
        </a:p>
      </dgm:t>
    </dgm:pt>
    <dgm:pt modelId="{C15D71D2-0E9E-44F9-8528-586351753EB0}" type="parTrans" cxnId="{7B82CAA7-D163-4728-97F0-8998FA11FFB8}">
      <dgm:prSet/>
      <dgm:spPr/>
    </dgm:pt>
    <dgm:pt modelId="{BCE41412-B34F-4C4F-AE8F-FE851F40E65B}" type="sibTrans" cxnId="{7B82CAA7-D163-4728-97F0-8998FA11FFB8}">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801BB905-3008-41F8-B342-6657E289845B}" type="presOf" srcId="{C14C9E6B-788E-4584-9513-CAD1C8F6A33A}"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F169D4DE-33F1-41A7-BCBC-9EFEBF7648B6}" srcId="{ED35E908-99EA-4021-B7AA-FFFF751752DA}" destId="{C14C9E6B-788E-4584-9513-CAD1C8F6A33A}" srcOrd="1" destOrd="0" parTransId="{68C3FFF1-9900-4C6D-833C-07766909F2E9}" sibTransId="{923667BD-92FB-4AD5-9714-AF61E199C117}"/>
    <dgm:cxn modelId="{40D7F1E2-D213-4A74-97AF-817DE86F377F}" type="presOf" srcId="{C3C9244B-6B8D-431D-AE6F-7BCD90AB9A2A}" destId="{A4D15F51-D5B8-4FEF-AC1F-DDC6C711288A}" srcOrd="0" destOrd="0" presId="urn:microsoft.com/office/officeart/2005/8/layout/vList5"/>
    <dgm:cxn modelId="{11D2177F-5911-4163-8675-68021C53B542}" type="presOf" srcId="{CB3D33E8-41AA-4783-9C29-C70BDEAE3CE7}" destId="{D85A961A-C185-4492-A3AB-0E0AC3BBFA0A}" srcOrd="0" destOrd="2" presId="urn:microsoft.com/office/officeart/2005/8/layout/vList5"/>
    <dgm:cxn modelId="{6E366BC3-AF4C-4C4F-A316-0CA8B65E4F90}" type="presOf" srcId="{3EE877E5-497D-48F8-B93E-6023B73C0C2D}" destId="{D85A961A-C185-4492-A3AB-0E0AC3BBFA0A}" srcOrd="0" destOrd="0" presId="urn:microsoft.com/office/officeart/2005/8/layout/vList5"/>
    <dgm:cxn modelId="{D0EEEF1D-B438-4355-8549-8E0CFCAB6063}" type="presOf" srcId="{ED35E908-99EA-4021-B7AA-FFFF751752DA}" destId="{287B5900-FDF9-4D22-B246-5318F5951704}" srcOrd="0" destOrd="0" presId="urn:microsoft.com/office/officeart/2005/8/layout/vList5"/>
    <dgm:cxn modelId="{7B82CAA7-D163-4728-97F0-8998FA11FFB8}" srcId="{ED35E908-99EA-4021-B7AA-FFFF751752DA}" destId="{CB3D33E8-41AA-4783-9C29-C70BDEAE3CE7}" srcOrd="2" destOrd="0" parTransId="{C15D71D2-0E9E-44F9-8528-586351753EB0}" sibTransId="{BCE41412-B34F-4C4F-AE8F-FE851F40E65B}"/>
    <dgm:cxn modelId="{52D09219-CF39-4D3A-83E8-96AFD4523FC3}" type="presParOf" srcId="{A4D15F51-D5B8-4FEF-AC1F-DDC6C711288A}" destId="{14F679C8-DA1F-4869-9C94-982F261574D1}" srcOrd="0" destOrd="0" presId="urn:microsoft.com/office/officeart/2005/8/layout/vList5"/>
    <dgm:cxn modelId="{06782EA7-FD47-45DF-A75F-668A79269549}" type="presParOf" srcId="{14F679C8-DA1F-4869-9C94-982F261574D1}" destId="{287B5900-FDF9-4D22-B246-5318F5951704}" srcOrd="0" destOrd="0" presId="urn:microsoft.com/office/officeart/2005/8/layout/vList5"/>
    <dgm:cxn modelId="{62AB0045-6B9F-468E-9340-F9A3AB1595A2}"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A1DF85A4-FA32-4E3B-86C3-4FB6A335C412}">
      <dgm:prSet phldrT="[Text]" custT="1"/>
      <dgm:spPr/>
      <dgm:t>
        <a:bodyPr/>
        <a:lstStyle/>
        <a:p>
          <a:r>
            <a:rPr lang="en-US" sz="800"/>
            <a:t>(ES) 3.c.</a:t>
          </a:r>
        </a:p>
      </dgm:t>
    </dgm:pt>
    <dgm:pt modelId="{C6C3A4B0-1A7B-4969-B95C-7E581E84A237}" type="parTrans" cxnId="{9C76D13F-4437-4A6E-BB25-307AA71542DB}">
      <dgm:prSet/>
      <dgm:spPr/>
      <dgm:t>
        <a:bodyPr/>
        <a:lstStyle/>
        <a:p>
          <a:endParaRPr lang="en-US"/>
        </a:p>
      </dgm:t>
    </dgm:pt>
    <dgm:pt modelId="{53BB3598-BE91-4B83-97E4-5DF0F144D66C}" type="sibTrans" cxnId="{9C76D13F-4437-4A6E-BB25-307AA71542DB}">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9C76D13F-4437-4A6E-BB25-307AA71542DB}" srcId="{ED35E908-99EA-4021-B7AA-FFFF751752DA}" destId="{A1DF85A4-FA32-4E3B-86C3-4FB6A335C412}" srcOrd="0" destOrd="0" parTransId="{C6C3A4B0-1A7B-4969-B95C-7E581E84A237}" sibTransId="{53BB3598-BE91-4B83-97E4-5DF0F144D66C}"/>
    <dgm:cxn modelId="{BE826328-3DDF-4026-8C18-4CA20D7FA997}" type="presOf" srcId="{ED35E908-99EA-4021-B7AA-FFFF751752DA}" destId="{287B5900-FDF9-4D22-B246-5318F5951704}" srcOrd="0" destOrd="0" presId="urn:microsoft.com/office/officeart/2005/8/layout/vList5"/>
    <dgm:cxn modelId="{15D57130-4150-4534-AC6E-C346F677A2DE}" type="presOf" srcId="{A1DF85A4-FA32-4E3B-86C3-4FB6A335C412}" destId="{D85A961A-C185-4492-A3AB-0E0AC3BBFA0A}" srcOrd="0" destOrd="0" presId="urn:microsoft.com/office/officeart/2005/8/layout/vList5"/>
    <dgm:cxn modelId="{F819306B-FA13-4F11-A8B5-4504EABE804E}" type="presOf" srcId="{C3C9244B-6B8D-431D-AE6F-7BCD90AB9A2A}" destId="{A4D15F51-D5B8-4FEF-AC1F-DDC6C711288A}" srcOrd="0" destOrd="0" presId="urn:microsoft.com/office/officeart/2005/8/layout/vList5"/>
    <dgm:cxn modelId="{5C288B92-3828-41C9-90C8-9DF509EA1A36}" type="presParOf" srcId="{A4D15F51-D5B8-4FEF-AC1F-DDC6C711288A}" destId="{14F679C8-DA1F-4869-9C94-982F261574D1}" srcOrd="0" destOrd="0" presId="urn:microsoft.com/office/officeart/2005/8/layout/vList5"/>
    <dgm:cxn modelId="{D81ED727-4893-4465-9E72-EBA2576C85D5}" type="presParOf" srcId="{14F679C8-DA1F-4869-9C94-982F261574D1}" destId="{287B5900-FDF9-4D22-B246-5318F5951704}" srcOrd="0" destOrd="0" presId="urn:microsoft.com/office/officeart/2005/8/layout/vList5"/>
    <dgm:cxn modelId="{D3F9ED99-B9A6-4A6A-BDC6-DEFDF23EB7C0}"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10.1, C 10.2, C 13.3, and E 3.1 </a:t>
          </a:r>
        </a:p>
        <a:p>
          <a:pPr marL="57150" lvl="1" indent="-57150" algn="l" defTabSz="355600">
            <a:lnSpc>
              <a:spcPct val="90000"/>
            </a:lnSpc>
            <a:spcBef>
              <a:spcPct val="0"/>
            </a:spcBef>
            <a:spcAft>
              <a:spcPct val="15000"/>
            </a:spcAft>
            <a:buChar char="••"/>
          </a:pPr>
          <a:r>
            <a:rPr lang="en-US" sz="800" kern="1200"/>
            <a:t>(Foundation) 1.1 </a:t>
          </a:r>
          <a:r>
            <a:rPr lang="en-US" sz="800" i="0" kern="1200"/>
            <a:t>Mathematics, Specific Applications of Algebra I:  (10.0), (12.0), and (15.0). </a:t>
          </a:r>
          <a:endParaRPr lang="en-US" sz="800" kern="1200"/>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a:t>
          </a:r>
          <a:r>
            <a:rPr lang="en-US" sz="800" kern="1200"/>
            <a:t> </a:t>
          </a:r>
          <a:r>
            <a:rPr lang="en-US" sz="800" i="0" kern="1200"/>
            <a:t>(1.a) and (1.d). </a:t>
          </a:r>
          <a:endParaRPr lang="en-US" sz="800"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3.c.</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D92D-CA2B-4E25-A94C-125A7496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11</cp:revision>
  <cp:lastPrinted>2009-09-24T16:35:00Z</cp:lastPrinted>
  <dcterms:created xsi:type="dcterms:W3CDTF">2009-09-08T22:26:00Z</dcterms:created>
  <dcterms:modified xsi:type="dcterms:W3CDTF">2009-09-24T16:35:00Z</dcterms:modified>
</cp:coreProperties>
</file>