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E7" w:rsidRDefault="003143E7" w:rsidP="003143E7">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3143E7" w:rsidRDefault="003143E7" w:rsidP="003143E7">
      <w:pPr>
        <w:jc w:val="right"/>
      </w:pPr>
      <w:r>
        <w:t>Date____________________</w:t>
      </w:r>
    </w:p>
    <w:p w:rsidR="003143E7" w:rsidRDefault="003143E7" w:rsidP="003143E7">
      <w:pPr>
        <w:pStyle w:val="Heading1"/>
        <w:jc w:val="center"/>
      </w:pPr>
      <w:r>
        <w:t>Modeling the Greenhouse Effect</w:t>
      </w:r>
    </w:p>
    <w:p w:rsidR="003143E7" w:rsidRPr="005D1100" w:rsidRDefault="003143E7" w:rsidP="003143E7">
      <w:pPr>
        <w:pStyle w:val="NoSpacing"/>
        <w:rPr>
          <w:b/>
        </w:rPr>
      </w:pPr>
      <w:r>
        <w:rPr>
          <w:b/>
        </w:rPr>
        <w:t>Purpose</w:t>
      </w:r>
    </w:p>
    <w:p w:rsidR="00032DFC" w:rsidRDefault="003143E7" w:rsidP="003143E7">
      <w:r>
        <w:t>The purpose of this lab is to model the greenhouse effect and compare your results to the greenhouse effect caused by Earth’s atmosphere.</w:t>
      </w:r>
      <w:r w:rsidR="006B266D">
        <w:rPr>
          <w:rStyle w:val="EndnoteReference"/>
        </w:rPr>
        <w:endnoteReference w:id="2"/>
      </w:r>
      <w:r w:rsidR="006B266D">
        <w:rPr>
          <w:rStyle w:val="EndnoteReference"/>
        </w:rPr>
        <w:endnoteReference w:id="3"/>
      </w:r>
    </w:p>
    <w:p w:rsidR="003143E7" w:rsidRDefault="003143E7" w:rsidP="003143E7">
      <w:pPr>
        <w:pStyle w:val="NoSpacing"/>
        <w:rPr>
          <w:b/>
        </w:rPr>
      </w:pPr>
      <w:r w:rsidRPr="003143E7">
        <w:rPr>
          <w:b/>
        </w:rPr>
        <w:t>Background</w:t>
      </w:r>
    </w:p>
    <w:p w:rsidR="003143E7" w:rsidRDefault="003143E7" w:rsidP="003143E7">
      <w:pPr>
        <w:pStyle w:val="NoSpacing"/>
      </w:pPr>
      <w:r>
        <w:t xml:space="preserve">A greenhouse is a structure whose glass or plastic panes allow light from the sun to enter the structure but also prevent heat from escaping. In a similar way, Earth’s atmosphere allows solar radiation to pass through it. Some of this radiation is absorbed by Earth’s surface. Gases in the atmosphere, including carbon dioxide and water vapor, also absorb some of this energy and reflect it back to Earth’s surface as heat. This greenhouse effect makes our planet’s surface and atmosphere warmer than they would be otherwise. </w:t>
      </w:r>
    </w:p>
    <w:p w:rsidR="003143E7" w:rsidRDefault="003143E7" w:rsidP="003143E7">
      <w:pPr>
        <w:pStyle w:val="NoSpacing"/>
      </w:pPr>
    </w:p>
    <w:p w:rsidR="003143E7" w:rsidRDefault="003143E7" w:rsidP="003143E7">
      <w:pPr>
        <w:pStyle w:val="NoSpacing"/>
        <w:rPr>
          <w:b/>
        </w:rPr>
      </w:pPr>
      <w:r>
        <w:rPr>
          <w:b/>
        </w:rPr>
        <w:t>Procedure</w:t>
      </w:r>
    </w:p>
    <w:p w:rsidR="003143E7" w:rsidRDefault="003143E7" w:rsidP="003143E7">
      <w:pPr>
        <w:pStyle w:val="NoSpacing"/>
        <w:rPr>
          <w:b/>
        </w:rPr>
      </w:pPr>
      <w:r>
        <w:rPr>
          <w:b/>
        </w:rPr>
        <w:t xml:space="preserve">     Materials</w:t>
      </w:r>
    </w:p>
    <w:p w:rsidR="00554660" w:rsidRDefault="00554660" w:rsidP="00554660">
      <w:pPr>
        <w:pStyle w:val="NoSpacing"/>
        <w:numPr>
          <w:ilvl w:val="0"/>
          <w:numId w:val="2"/>
        </w:numPr>
        <w:sectPr w:rsidR="00554660" w:rsidSect="00032DF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00554660" w:rsidRDefault="00554660" w:rsidP="00554660">
      <w:pPr>
        <w:pStyle w:val="NoSpacing"/>
        <w:numPr>
          <w:ilvl w:val="0"/>
          <w:numId w:val="2"/>
        </w:numPr>
      </w:pPr>
      <w:r>
        <w:lastRenderedPageBreak/>
        <w:t>Clean, dry, transparent 2-L plastic soda bottles with caps (2)</w:t>
      </w:r>
    </w:p>
    <w:p w:rsidR="00554660" w:rsidRDefault="00554660" w:rsidP="00554660">
      <w:pPr>
        <w:pStyle w:val="NoSpacing"/>
        <w:numPr>
          <w:ilvl w:val="0"/>
          <w:numId w:val="2"/>
        </w:numPr>
      </w:pPr>
      <w:r>
        <w:t>Lab burner</w:t>
      </w:r>
    </w:p>
    <w:p w:rsidR="00554660" w:rsidRDefault="00554660" w:rsidP="00554660">
      <w:pPr>
        <w:pStyle w:val="NoSpacing"/>
        <w:numPr>
          <w:ilvl w:val="0"/>
          <w:numId w:val="2"/>
        </w:numPr>
      </w:pPr>
      <w:r>
        <w:t>Heat-resistant gloves</w:t>
      </w:r>
    </w:p>
    <w:p w:rsidR="00554660" w:rsidRDefault="00554660" w:rsidP="00554660">
      <w:pPr>
        <w:pStyle w:val="NoSpacing"/>
        <w:numPr>
          <w:ilvl w:val="0"/>
          <w:numId w:val="2"/>
        </w:numPr>
      </w:pPr>
      <w:r>
        <w:t>Safety matches</w:t>
      </w:r>
    </w:p>
    <w:p w:rsidR="00554660" w:rsidRDefault="00554660" w:rsidP="00554660">
      <w:pPr>
        <w:pStyle w:val="NoSpacing"/>
        <w:numPr>
          <w:ilvl w:val="0"/>
          <w:numId w:val="2"/>
        </w:numPr>
      </w:pPr>
      <w:r>
        <w:t>Large, metal knitting needle</w:t>
      </w:r>
    </w:p>
    <w:p w:rsidR="00554660" w:rsidRDefault="00554660" w:rsidP="00554660">
      <w:pPr>
        <w:pStyle w:val="NoSpacing"/>
        <w:numPr>
          <w:ilvl w:val="0"/>
          <w:numId w:val="2"/>
        </w:numPr>
      </w:pPr>
      <w:r>
        <w:t>Celsius thermometers (2)</w:t>
      </w:r>
    </w:p>
    <w:p w:rsidR="00554660" w:rsidRDefault="00554660" w:rsidP="00554660">
      <w:pPr>
        <w:pStyle w:val="NoSpacing"/>
        <w:numPr>
          <w:ilvl w:val="0"/>
          <w:numId w:val="2"/>
        </w:numPr>
      </w:pPr>
      <w:r>
        <w:t>Modeling clay</w:t>
      </w:r>
    </w:p>
    <w:p w:rsidR="00554660" w:rsidRDefault="00554660" w:rsidP="00554660">
      <w:pPr>
        <w:pStyle w:val="NoSpacing"/>
        <w:numPr>
          <w:ilvl w:val="0"/>
          <w:numId w:val="2"/>
        </w:numPr>
      </w:pPr>
      <w:r>
        <w:t>Direct sunlight or a lamp with 100W bulb</w:t>
      </w:r>
    </w:p>
    <w:p w:rsidR="00554660" w:rsidRDefault="00554660" w:rsidP="00554660">
      <w:pPr>
        <w:pStyle w:val="NoSpacing"/>
        <w:numPr>
          <w:ilvl w:val="0"/>
          <w:numId w:val="2"/>
        </w:numPr>
      </w:pPr>
      <w:r>
        <w:t>Clock or watch</w:t>
      </w:r>
    </w:p>
    <w:p w:rsidR="00554660" w:rsidRDefault="00554660" w:rsidP="00554660">
      <w:pPr>
        <w:pStyle w:val="NoSpacing"/>
        <w:numPr>
          <w:ilvl w:val="0"/>
          <w:numId w:val="2"/>
        </w:numPr>
      </w:pPr>
      <w:r>
        <w:t>Colored pencils</w:t>
      </w:r>
    </w:p>
    <w:p w:rsidR="009763F9" w:rsidRDefault="009763F9" w:rsidP="00554660">
      <w:pPr>
        <w:pStyle w:val="NoSpacing"/>
        <w:numPr>
          <w:ilvl w:val="0"/>
          <w:numId w:val="2"/>
        </w:numPr>
      </w:pPr>
      <w:r>
        <w:t>Safety Goggles</w:t>
      </w:r>
    </w:p>
    <w:p w:rsidR="00A22515" w:rsidRPr="00A22515" w:rsidRDefault="00A22515" w:rsidP="00A22515">
      <w:pPr>
        <w:pStyle w:val="NoSpacing"/>
        <w:ind w:left="360"/>
        <w:rPr>
          <w:i/>
        </w:rPr>
      </w:pPr>
      <w:r>
        <w:rPr>
          <w:i/>
        </w:rPr>
        <w:t>*If lab burners are not available, other instruments may be provided by the teacher to make holes in the plastic bottles.</w:t>
      </w:r>
    </w:p>
    <w:p w:rsidR="00554660" w:rsidRDefault="00554660" w:rsidP="00554660">
      <w:pPr>
        <w:pStyle w:val="NoSpacing"/>
      </w:pPr>
    </w:p>
    <w:p w:rsidR="00554660" w:rsidRDefault="009763F9" w:rsidP="00554660">
      <w:pPr>
        <w:pStyle w:val="NoSpacing"/>
        <w:rPr>
          <w:b/>
        </w:rPr>
      </w:pPr>
      <w:r>
        <w:rPr>
          <w:b/>
        </w:rPr>
        <w:t>Sequence of Steps</w:t>
      </w:r>
    </w:p>
    <w:p w:rsidR="009763F9" w:rsidRDefault="009763F9" w:rsidP="009763F9">
      <w:pPr>
        <w:pStyle w:val="NoSpacing"/>
        <w:numPr>
          <w:ilvl w:val="0"/>
          <w:numId w:val="3"/>
        </w:numPr>
      </w:pPr>
      <w:r>
        <w:t>Put on safety goggles.</w:t>
      </w:r>
    </w:p>
    <w:p w:rsidR="009763F9" w:rsidRDefault="009763F9" w:rsidP="009763F9">
      <w:pPr>
        <w:pStyle w:val="NoSpacing"/>
        <w:numPr>
          <w:ilvl w:val="0"/>
          <w:numId w:val="3"/>
        </w:numPr>
      </w:pPr>
      <w:r>
        <w:t>Connect the lab burner to the gas valve.</w:t>
      </w:r>
    </w:p>
    <w:p w:rsidR="009763F9" w:rsidRDefault="009763F9" w:rsidP="009763F9">
      <w:pPr>
        <w:pStyle w:val="NoSpacing"/>
        <w:numPr>
          <w:ilvl w:val="0"/>
          <w:numId w:val="3"/>
        </w:numPr>
      </w:pPr>
      <w:r>
        <w:t>Put on heat resistant gloves and open the valve. Carefully light the burner and properly dispose of the match.</w:t>
      </w:r>
    </w:p>
    <w:p w:rsidR="009763F9" w:rsidRDefault="009763F9" w:rsidP="009763F9">
      <w:pPr>
        <w:pStyle w:val="NoSpacing"/>
        <w:numPr>
          <w:ilvl w:val="0"/>
          <w:numId w:val="3"/>
        </w:numPr>
      </w:pPr>
      <w:r>
        <w:t xml:space="preserve">CAUTION: Carefully warm the knitting needle in the flame and use it to make 30 holes in one of the 2-L bottles. Distribute the holes evenly around the bottle, but do not make holes around the bottom 6cm of the bottle. Turn off the burner and put it away. </w:t>
      </w:r>
    </w:p>
    <w:p w:rsidR="009763F9" w:rsidRDefault="009763F9" w:rsidP="009763F9">
      <w:pPr>
        <w:pStyle w:val="NoSpacing"/>
        <w:numPr>
          <w:ilvl w:val="0"/>
          <w:numId w:val="3"/>
        </w:numPr>
      </w:pPr>
      <w:r>
        <w:lastRenderedPageBreak/>
        <w:t xml:space="preserve">Lower one thermometer into </w:t>
      </w:r>
      <w:r w:rsidR="00F8309A">
        <w:t>the mouth of each bottle</w:t>
      </w:r>
      <w:r>
        <w:t xml:space="preserve"> so that the bulbs of the thermometers are at the bottoms of the bottles. Screw the caps tightly onto the bottles.</w:t>
      </w:r>
    </w:p>
    <w:p w:rsidR="009763F9" w:rsidRDefault="009763F9" w:rsidP="009763F9">
      <w:pPr>
        <w:pStyle w:val="NoSpacing"/>
        <w:numPr>
          <w:ilvl w:val="0"/>
          <w:numId w:val="3"/>
        </w:numPr>
      </w:pPr>
      <w:r>
        <w:t xml:space="preserve">Use the modeling clay to secure the bottles – upside down – in an area that gets direct sunlight or under the lamp. The bottles should be about 15cm apart. If you are using a lamp, adjust the lamp so that each bottle is the same distance – about 10cm – from the bulb. </w:t>
      </w:r>
    </w:p>
    <w:p w:rsidR="009763F9" w:rsidRDefault="00A22515" w:rsidP="009763F9">
      <w:pPr>
        <w:pStyle w:val="NoSpacing"/>
        <w:numPr>
          <w:ilvl w:val="0"/>
          <w:numId w:val="3"/>
        </w:numPr>
      </w:pPr>
      <w:r>
        <w:rPr>
          <w:noProof/>
        </w:rPr>
        <w:drawing>
          <wp:anchor distT="0" distB="0" distL="114300" distR="114300" simplePos="0" relativeHeight="251662336" behindDoc="1" locked="0" layoutInCell="1" allowOverlap="1">
            <wp:simplePos x="0" y="0"/>
            <wp:positionH relativeFrom="column">
              <wp:posOffset>-23495</wp:posOffset>
            </wp:positionH>
            <wp:positionV relativeFrom="paragraph">
              <wp:posOffset>314325</wp:posOffset>
            </wp:positionV>
            <wp:extent cx="191770" cy="251460"/>
            <wp:effectExtent l="19050" t="0" r="0" b="0"/>
            <wp:wrapNone/>
            <wp:docPr id="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9763F9">
        <w:t xml:space="preserve">Adjust the bottles so that the thermometers are set up the same way with respect to the light source. </w:t>
      </w:r>
    </w:p>
    <w:p w:rsidR="00A22515" w:rsidRDefault="00A22515" w:rsidP="009763F9">
      <w:pPr>
        <w:pStyle w:val="NoSpacing"/>
        <w:numPr>
          <w:ilvl w:val="0"/>
          <w:numId w:val="3"/>
        </w:numPr>
      </w:pPr>
      <w:r>
        <w:rPr>
          <w:noProof/>
        </w:rPr>
        <w:drawing>
          <wp:anchor distT="0" distB="0" distL="114300" distR="114300" simplePos="0" relativeHeight="251664384" behindDoc="1" locked="0" layoutInCell="1" allowOverlap="1">
            <wp:simplePos x="0" y="0"/>
            <wp:positionH relativeFrom="column">
              <wp:posOffset>-17780</wp:posOffset>
            </wp:positionH>
            <wp:positionV relativeFrom="paragraph">
              <wp:posOffset>377825</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If you are using a lamp as your light source, turn it on. CAUTION: Lamps can get very hot. Do not move too close to the lamps when they are in use. Measure the initial temperature shown on each thermometer and record these values in the data table.</w:t>
      </w:r>
    </w:p>
    <w:p w:rsidR="00A22515" w:rsidRDefault="00A22515" w:rsidP="009763F9">
      <w:pPr>
        <w:pStyle w:val="NoSpacing"/>
        <w:numPr>
          <w:ilvl w:val="0"/>
          <w:numId w:val="3"/>
        </w:numPr>
      </w:pPr>
      <w:r>
        <w:t>Measure and record the temperature in each bottle every 5 minutes for 30 minutes.</w:t>
      </w:r>
    </w:p>
    <w:p w:rsidR="00A22515" w:rsidRDefault="00A22515" w:rsidP="00A22515">
      <w:pPr>
        <w:pStyle w:val="NoSpacing"/>
        <w:ind w:left="720"/>
      </w:pPr>
    </w:p>
    <w:p w:rsidR="00A22515" w:rsidRDefault="00A22515" w:rsidP="00A22515">
      <w:pPr>
        <w:pStyle w:val="NoSpacing"/>
        <w:ind w:left="720"/>
      </w:pPr>
      <w:r>
        <w:rPr>
          <w:noProof/>
        </w:rPr>
        <w:drawing>
          <wp:anchor distT="0" distB="0" distL="114300" distR="114300" simplePos="0" relativeHeight="251667456" behindDoc="1" locked="0" layoutInCell="1" allowOverlap="1">
            <wp:simplePos x="0" y="0"/>
            <wp:positionH relativeFrom="column">
              <wp:posOffset>-139700</wp:posOffset>
            </wp:positionH>
            <wp:positionV relativeFrom="paragraph">
              <wp:posOffset>34925</wp:posOffset>
            </wp:positionV>
            <wp:extent cx="648970" cy="814705"/>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2"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p>
    <w:p w:rsidR="00A22515" w:rsidRDefault="00330F9B" w:rsidP="00A22515">
      <w:pPr>
        <w:pStyle w:val="NoSpacing"/>
        <w:tabs>
          <w:tab w:val="left" w:pos="9360"/>
        </w:tabs>
        <w:ind w:firstLine="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8.75pt;width:474.45pt;height:.55pt;z-index:251658240" o:connectortype="straight">
            <v:stroke dashstyle="1 1" endcap="round"/>
          </v:shape>
        </w:pict>
      </w:r>
    </w:p>
    <w:p w:rsidR="00A22515" w:rsidRPr="00441CE5" w:rsidRDefault="00A22515" w:rsidP="00A22515">
      <w:pPr>
        <w:pStyle w:val="NoSpacing"/>
        <w:tabs>
          <w:tab w:val="left" w:pos="9360"/>
        </w:tabs>
        <w:ind w:firstLine="720"/>
        <w:rPr>
          <w:b/>
        </w:rPr>
      </w:pPr>
      <w:r>
        <w:rPr>
          <w:b/>
        </w:rPr>
        <w:t>Observations</w:t>
      </w:r>
      <w:r>
        <w:rPr>
          <w:b/>
        </w:rPr>
        <w:tab/>
      </w:r>
    </w:p>
    <w:p w:rsidR="00A22515" w:rsidRDefault="00A22515" w:rsidP="00A22515">
      <w:pPr>
        <w:pStyle w:val="NoSpacing"/>
        <w:ind w:left="720"/>
      </w:pPr>
    </w:p>
    <w:p w:rsidR="00A22515" w:rsidRDefault="00A22515" w:rsidP="00A22515">
      <w:pPr>
        <w:pStyle w:val="NoSpacing"/>
        <w:ind w:left="720"/>
        <w:rPr>
          <w:b/>
        </w:rPr>
      </w:pPr>
      <w:r w:rsidRPr="00A22515">
        <w:rPr>
          <w:b/>
        </w:rPr>
        <w:t>Data Table</w:t>
      </w:r>
    </w:p>
    <w:tbl>
      <w:tblPr>
        <w:tblStyle w:val="TableGrid"/>
        <w:tblW w:w="8928" w:type="dxa"/>
        <w:tblInd w:w="720" w:type="dxa"/>
        <w:tblLook w:val="04A0"/>
      </w:tblPr>
      <w:tblGrid>
        <w:gridCol w:w="1638"/>
        <w:gridCol w:w="3645"/>
        <w:gridCol w:w="3645"/>
      </w:tblGrid>
      <w:tr w:rsidR="00A22515" w:rsidTr="00A22515">
        <w:tc>
          <w:tcPr>
            <w:tcW w:w="1638" w:type="dxa"/>
            <w:vMerge w:val="restart"/>
            <w:shd w:val="clear" w:color="auto" w:fill="D9D9D9" w:themeFill="background1" w:themeFillShade="D9"/>
            <w:vAlign w:val="bottom"/>
          </w:tcPr>
          <w:p w:rsidR="00A22515" w:rsidRPr="00A22515" w:rsidRDefault="00A22515" w:rsidP="00A22515">
            <w:pPr>
              <w:pStyle w:val="NoSpacing"/>
              <w:jc w:val="center"/>
            </w:pPr>
            <w:r w:rsidRPr="00A22515">
              <w:t>Time (minutes)</w:t>
            </w:r>
          </w:p>
        </w:tc>
        <w:tc>
          <w:tcPr>
            <w:tcW w:w="7290" w:type="dxa"/>
            <w:gridSpan w:val="2"/>
            <w:shd w:val="clear" w:color="auto" w:fill="D9D9D9" w:themeFill="background1" w:themeFillShade="D9"/>
          </w:tcPr>
          <w:p w:rsidR="00A22515" w:rsidRPr="00A22515" w:rsidRDefault="00A22515" w:rsidP="00A22515">
            <w:pPr>
              <w:pStyle w:val="NoSpacing"/>
              <w:jc w:val="center"/>
            </w:pPr>
            <w:r w:rsidRPr="00A22515">
              <w:t>Temperature (˚C)</w:t>
            </w:r>
          </w:p>
        </w:tc>
      </w:tr>
      <w:tr w:rsidR="00A22515" w:rsidTr="00A22515">
        <w:tc>
          <w:tcPr>
            <w:tcW w:w="1638" w:type="dxa"/>
            <w:vMerge/>
            <w:shd w:val="clear" w:color="auto" w:fill="D9D9D9" w:themeFill="background1" w:themeFillShade="D9"/>
          </w:tcPr>
          <w:p w:rsidR="00A22515" w:rsidRPr="00A22515" w:rsidRDefault="00A22515" w:rsidP="00A22515">
            <w:pPr>
              <w:pStyle w:val="NoSpacing"/>
            </w:pPr>
          </w:p>
        </w:tc>
        <w:tc>
          <w:tcPr>
            <w:tcW w:w="3645" w:type="dxa"/>
            <w:shd w:val="clear" w:color="auto" w:fill="D9D9D9" w:themeFill="background1" w:themeFillShade="D9"/>
            <w:vAlign w:val="center"/>
          </w:tcPr>
          <w:p w:rsidR="00A22515" w:rsidRPr="00A22515" w:rsidRDefault="00A22515" w:rsidP="00A22515">
            <w:pPr>
              <w:pStyle w:val="NoSpacing"/>
              <w:jc w:val="center"/>
            </w:pPr>
            <w:r w:rsidRPr="00A22515">
              <w:t>Bottle Without Holes</w:t>
            </w:r>
          </w:p>
        </w:tc>
        <w:tc>
          <w:tcPr>
            <w:tcW w:w="3645" w:type="dxa"/>
            <w:shd w:val="clear" w:color="auto" w:fill="D9D9D9" w:themeFill="background1" w:themeFillShade="D9"/>
            <w:vAlign w:val="center"/>
          </w:tcPr>
          <w:p w:rsidR="00A22515" w:rsidRPr="00A22515" w:rsidRDefault="00A22515" w:rsidP="00A22515">
            <w:pPr>
              <w:pStyle w:val="NoSpacing"/>
              <w:jc w:val="center"/>
            </w:pPr>
            <w:r w:rsidRPr="00A22515">
              <w:t>Perforated Bottle</w:t>
            </w: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0</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5</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10</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15</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20</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25</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r w:rsidR="00A22515" w:rsidTr="00A22515">
        <w:tc>
          <w:tcPr>
            <w:tcW w:w="1638" w:type="dxa"/>
            <w:shd w:val="clear" w:color="auto" w:fill="D9D9D9" w:themeFill="background1" w:themeFillShade="D9"/>
          </w:tcPr>
          <w:p w:rsidR="00A22515" w:rsidRPr="00A22515" w:rsidRDefault="00A22515" w:rsidP="00A22515">
            <w:pPr>
              <w:pStyle w:val="NoSpacing"/>
            </w:pPr>
            <w:r w:rsidRPr="00A22515">
              <w:t>30</w:t>
            </w:r>
          </w:p>
        </w:tc>
        <w:tc>
          <w:tcPr>
            <w:tcW w:w="3645" w:type="dxa"/>
          </w:tcPr>
          <w:p w:rsidR="00A22515" w:rsidRDefault="00A22515" w:rsidP="00A22515">
            <w:pPr>
              <w:pStyle w:val="NoSpacing"/>
              <w:rPr>
                <w:b/>
              </w:rPr>
            </w:pPr>
          </w:p>
        </w:tc>
        <w:tc>
          <w:tcPr>
            <w:tcW w:w="3645" w:type="dxa"/>
          </w:tcPr>
          <w:p w:rsidR="00A22515" w:rsidRDefault="00A22515" w:rsidP="00A22515">
            <w:pPr>
              <w:pStyle w:val="NoSpacing"/>
              <w:rPr>
                <w:b/>
              </w:rPr>
            </w:pPr>
          </w:p>
        </w:tc>
      </w:tr>
    </w:tbl>
    <w:p w:rsidR="00A22515" w:rsidRDefault="00A22515" w:rsidP="00A22515">
      <w:pPr>
        <w:pStyle w:val="NoSpacing"/>
        <w:ind w:left="720"/>
        <w:rPr>
          <w:b/>
        </w:rPr>
      </w:pPr>
    </w:p>
    <w:p w:rsidR="006B266D" w:rsidRDefault="006B266D" w:rsidP="00A22515">
      <w:pPr>
        <w:pStyle w:val="NoSpacing"/>
        <w:ind w:left="720"/>
        <w:rPr>
          <w:b/>
        </w:rPr>
      </w:pPr>
      <w:r>
        <w:rPr>
          <w:b/>
          <w:noProof/>
        </w:rPr>
        <w:drawing>
          <wp:anchor distT="0" distB="0" distL="114300" distR="114300" simplePos="0" relativeHeight="251668480" behindDoc="1" locked="0" layoutInCell="1" allowOverlap="1">
            <wp:simplePos x="0" y="0"/>
            <wp:positionH relativeFrom="column">
              <wp:posOffset>2091690</wp:posOffset>
            </wp:positionH>
            <wp:positionV relativeFrom="paragraph">
              <wp:posOffset>92710</wp:posOffset>
            </wp:positionV>
            <wp:extent cx="4019550" cy="4191000"/>
            <wp:effectExtent l="19050" t="0" r="0" b="0"/>
            <wp:wrapTight wrapText="bothSides">
              <wp:wrapPolygon edited="0">
                <wp:start x="-102" y="0"/>
                <wp:lineTo x="-102" y="21502"/>
                <wp:lineTo x="21600" y="21502"/>
                <wp:lineTo x="21600" y="0"/>
                <wp:lineTo x="-102" y="0"/>
              </wp:wrapPolygon>
            </wp:wrapTight>
            <wp:docPr id="6" name="Picture 1" descr="http://www.themathlab.com/toolbox/general%20stuff/large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mathlab.com/toolbox/general%20stuff/largegrid.gif"/>
                    <pic:cNvPicPr>
                      <a:picLocks noChangeAspect="1" noChangeArrowheads="1"/>
                    </pic:cNvPicPr>
                  </pic:nvPicPr>
                  <pic:blipFill>
                    <a:blip r:embed="rId23" cstate="print"/>
                    <a:srcRect/>
                    <a:stretch>
                      <a:fillRect/>
                    </a:stretch>
                  </pic:blipFill>
                  <pic:spPr bwMode="auto">
                    <a:xfrm>
                      <a:off x="0" y="0"/>
                      <a:ext cx="4019550" cy="4191000"/>
                    </a:xfrm>
                    <a:prstGeom prst="rect">
                      <a:avLst/>
                    </a:prstGeom>
                    <a:noFill/>
                    <a:ln w="9525">
                      <a:noFill/>
                      <a:miter lim="800000"/>
                      <a:headEnd/>
                      <a:tailEnd/>
                    </a:ln>
                  </pic:spPr>
                </pic:pic>
              </a:graphicData>
            </a:graphic>
          </wp:anchor>
        </w:drawing>
      </w:r>
      <w:r>
        <w:rPr>
          <w:b/>
        </w:rPr>
        <w:t>Graph</w:t>
      </w:r>
    </w:p>
    <w:p w:rsidR="006B266D" w:rsidRDefault="006B266D" w:rsidP="00A22515">
      <w:pPr>
        <w:pStyle w:val="NoSpacing"/>
        <w:ind w:left="720"/>
      </w:pPr>
    </w:p>
    <w:p w:rsidR="006B266D" w:rsidRDefault="006B266D" w:rsidP="00A22515">
      <w:pPr>
        <w:pStyle w:val="NoSpacing"/>
        <w:ind w:left="720"/>
      </w:pPr>
      <w:r>
        <w:t xml:space="preserve">Construct a line graph of your data on the grid.  </w:t>
      </w:r>
      <w:proofErr w:type="gramStart"/>
      <w:r>
        <w:t>Plot time, in minutes, on the horizontal axis, and temperature, in degrees Celsius, on the vertical axis.</w:t>
      </w:r>
      <w:proofErr w:type="gramEnd"/>
      <w:r>
        <w:t xml:space="preserve"> Use a different colored pencil to connect each set of data points. Include a key that indicates which set of data is which. Give your graph an appropriate title. </w:t>
      </w:r>
    </w:p>
    <w:p w:rsidR="006B266D" w:rsidRDefault="006B266D" w:rsidP="00A22515">
      <w:pPr>
        <w:pStyle w:val="NoSpacing"/>
        <w:ind w:left="720"/>
      </w:pPr>
    </w:p>
    <w:p w:rsidR="006B266D" w:rsidRDefault="00330F9B" w:rsidP="00A22515">
      <w:pPr>
        <w:pStyle w:val="NoSpacing"/>
        <w:ind w:left="720"/>
      </w:pPr>
      <w:r>
        <w:rPr>
          <w:noProof/>
        </w:rPr>
        <w:pict>
          <v:roundrect id="_x0000_s1027" style="position:absolute;left:0;text-align:left;margin-left:14.4pt;margin-top:.05pt;width:146.4pt;height:100.8pt;z-index:251669504" arcsize="10923f">
            <v:textbox>
              <w:txbxContent>
                <w:p w:rsidR="006B266D" w:rsidRDefault="006B266D">
                  <w:r>
                    <w:t>KEY:</w:t>
                  </w:r>
                </w:p>
              </w:txbxContent>
            </v:textbox>
          </v:roundrect>
        </w:pict>
      </w:r>
    </w:p>
    <w:p w:rsidR="006B266D" w:rsidRDefault="006B266D" w:rsidP="003473C9">
      <w:pPr>
        <w:pStyle w:val="NoSpacing"/>
      </w:pPr>
    </w:p>
    <w:p w:rsidR="006B266D" w:rsidRDefault="006B266D" w:rsidP="006B266D">
      <w:pPr>
        <w:pStyle w:val="NoSpacing"/>
        <w:numPr>
          <w:ilvl w:val="0"/>
          <w:numId w:val="4"/>
        </w:numPr>
      </w:pPr>
      <w:r>
        <w:lastRenderedPageBreak/>
        <w:t>In which of the two bottles did the temperature of the air rise at a faster rate? Explain why this happened.</w:t>
      </w:r>
    </w:p>
    <w:p w:rsidR="006B266D" w:rsidRDefault="006B266D" w:rsidP="006B266D">
      <w:pPr>
        <w:pStyle w:val="NoSpacing"/>
        <w:ind w:left="1080"/>
      </w:pPr>
    </w:p>
    <w:p w:rsidR="006B266D" w:rsidRDefault="006B266D" w:rsidP="006B266D">
      <w:pPr>
        <w:pStyle w:val="NoSpacing"/>
        <w:ind w:left="1080"/>
      </w:pPr>
    </w:p>
    <w:p w:rsidR="006B266D" w:rsidRDefault="006B266D" w:rsidP="006B266D">
      <w:pPr>
        <w:pStyle w:val="NoSpacing"/>
        <w:ind w:left="1080"/>
      </w:pPr>
    </w:p>
    <w:p w:rsidR="006B266D" w:rsidRDefault="006B266D" w:rsidP="006B266D">
      <w:pPr>
        <w:pStyle w:val="NoSpacing"/>
        <w:ind w:left="1080"/>
      </w:pPr>
    </w:p>
    <w:p w:rsidR="006B266D" w:rsidRDefault="006B266D" w:rsidP="006B266D">
      <w:pPr>
        <w:pStyle w:val="NoSpacing"/>
        <w:numPr>
          <w:ilvl w:val="0"/>
          <w:numId w:val="4"/>
        </w:numPr>
      </w:pPr>
      <w:r>
        <w:t>In which of the bottles did the air reach the higher temperature? Why?</w:t>
      </w: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numPr>
          <w:ilvl w:val="0"/>
          <w:numId w:val="4"/>
        </w:numPr>
      </w:pPr>
      <w:r>
        <w:t>Which processes of heat transfer – conduction, radiation, convection – are involved in this activity?</w:t>
      </w: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numPr>
          <w:ilvl w:val="0"/>
          <w:numId w:val="4"/>
        </w:numPr>
      </w:pPr>
      <w:r>
        <w:t>Which bottle simulates the greenhouse effect caused by Earth’s atmosphere? Why?</w:t>
      </w: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numPr>
          <w:ilvl w:val="0"/>
          <w:numId w:val="4"/>
        </w:numPr>
      </w:pPr>
      <w:r>
        <w:t>What are some of the limitations of this model of Earth’s greenhouse effect?</w:t>
      </w: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numPr>
          <w:ilvl w:val="0"/>
          <w:numId w:val="4"/>
        </w:numPr>
      </w:pPr>
      <w:r>
        <w:t>How is the greenhouse effect related to global warming?</w:t>
      </w: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ind w:left="720"/>
      </w:pPr>
    </w:p>
    <w:p w:rsidR="006B266D" w:rsidRDefault="006B266D" w:rsidP="006B266D">
      <w:pPr>
        <w:pStyle w:val="NoSpacing"/>
        <w:numPr>
          <w:ilvl w:val="0"/>
          <w:numId w:val="4"/>
        </w:numPr>
      </w:pPr>
      <w:r>
        <w:t>How is agriculture production potentially impacted by the greenhouse effect?</w:t>
      </w:r>
    </w:p>
    <w:p w:rsidR="006B266D" w:rsidRDefault="006B266D" w:rsidP="006B266D">
      <w:pPr>
        <w:pStyle w:val="NoSpacing"/>
        <w:ind w:left="1080"/>
      </w:pPr>
    </w:p>
    <w:p w:rsidR="00651636" w:rsidRDefault="00651636" w:rsidP="006B266D">
      <w:pPr>
        <w:pStyle w:val="NoSpacing"/>
        <w:ind w:left="1080"/>
      </w:pPr>
    </w:p>
    <w:p w:rsidR="00651636" w:rsidRDefault="00651636" w:rsidP="006B266D">
      <w:pPr>
        <w:pStyle w:val="NoSpacing"/>
        <w:ind w:left="1080"/>
      </w:pPr>
    </w:p>
    <w:p w:rsidR="00651636" w:rsidRDefault="00651636" w:rsidP="006B266D">
      <w:pPr>
        <w:pStyle w:val="NoSpacing"/>
        <w:ind w:left="1080"/>
      </w:pPr>
    </w:p>
    <w:p w:rsidR="00651636" w:rsidRDefault="00651636" w:rsidP="006B266D">
      <w:pPr>
        <w:pStyle w:val="NoSpacing"/>
        <w:ind w:left="1080"/>
      </w:pPr>
    </w:p>
    <w:p w:rsidR="00651636" w:rsidRDefault="00651636" w:rsidP="006B266D">
      <w:pPr>
        <w:pStyle w:val="NoSpacing"/>
        <w:ind w:left="1080"/>
      </w:pPr>
    </w:p>
    <w:p w:rsidR="00651636" w:rsidRDefault="00651636" w:rsidP="003473C9">
      <w:pPr>
        <w:pStyle w:val="NoSpacing"/>
      </w:pPr>
    </w:p>
    <w:p w:rsidR="00651636" w:rsidRDefault="00651636" w:rsidP="006B266D">
      <w:pPr>
        <w:pStyle w:val="NoSpacing"/>
        <w:ind w:left="1080"/>
      </w:pPr>
    </w:p>
    <w:p w:rsidR="00445637" w:rsidRDefault="00445637" w:rsidP="006B266D">
      <w:pPr>
        <w:pStyle w:val="NoSpacing"/>
        <w:ind w:left="1080"/>
      </w:pPr>
    </w:p>
    <w:p w:rsidR="00445637" w:rsidRPr="006B266D" w:rsidRDefault="00445637" w:rsidP="006B266D">
      <w:pPr>
        <w:pStyle w:val="NoSpacing"/>
        <w:ind w:left="1080"/>
      </w:pPr>
    </w:p>
    <w:sectPr w:rsidR="00445637" w:rsidRPr="006B266D" w:rsidSect="0055466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43A" w:rsidRDefault="0082543A" w:rsidP="006B266D">
      <w:pPr>
        <w:pStyle w:val="NoSpacing"/>
      </w:pPr>
      <w:r>
        <w:separator/>
      </w:r>
    </w:p>
  </w:endnote>
  <w:endnote w:type="continuationSeparator" w:id="1">
    <w:p w:rsidR="0082543A" w:rsidRDefault="0082543A" w:rsidP="006B266D">
      <w:pPr>
        <w:pStyle w:val="NoSpacing"/>
      </w:pPr>
      <w:r>
        <w:continuationSeparator/>
      </w:r>
    </w:p>
  </w:endnote>
  <w:endnote w:id="2">
    <w:p w:rsidR="006B266D" w:rsidRPr="00CE3BEC" w:rsidRDefault="006B266D">
      <w:pPr>
        <w:pStyle w:val="EndnoteText"/>
        <w:rPr>
          <w:rFonts w:ascii="Times New Roman" w:hAnsi="Times New Roman" w:cs="Times New Roman"/>
          <w:sz w:val="16"/>
          <w:szCs w:val="16"/>
        </w:rPr>
      </w:pPr>
      <w:r>
        <w:rPr>
          <w:rStyle w:val="EndnoteReference"/>
        </w:rPr>
        <w:endnoteRef/>
      </w:r>
      <w:r>
        <w:t xml:space="preserve"> </w:t>
      </w:r>
      <w:proofErr w:type="gramStart"/>
      <w:r w:rsidRPr="00CE3BEC">
        <w:rPr>
          <w:rFonts w:ascii="Times New Roman" w:hAnsi="Times New Roman" w:cs="Times New Roman"/>
          <w:color w:val="666666"/>
          <w:sz w:val="16"/>
          <w:szCs w:val="16"/>
        </w:rPr>
        <w:t>Pearson Prentice Hall, Modeling the Greenhouse Effect.</w:t>
      </w:r>
      <w:proofErr w:type="gramEnd"/>
      <w:r w:rsidRPr="00CE3BEC">
        <w:rPr>
          <w:rFonts w:ascii="Times New Roman" w:hAnsi="Times New Roman" w:cs="Times New Roman"/>
          <w:color w:val="666666"/>
          <w:sz w:val="16"/>
          <w:szCs w:val="16"/>
        </w:rPr>
        <w:t xml:space="preserve"> </w:t>
      </w:r>
      <w:r w:rsidRPr="00CE3BEC">
        <w:rPr>
          <w:rFonts w:ascii="Times New Roman" w:hAnsi="Times New Roman" w:cs="Times New Roman"/>
          <w:i/>
          <w:iCs/>
          <w:color w:val="666666"/>
          <w:sz w:val="16"/>
          <w:szCs w:val="16"/>
        </w:rPr>
        <w:t>Pearson Education, Inc.</w:t>
      </w:r>
    </w:p>
  </w:endnote>
  <w:endnote w:id="3">
    <w:p w:rsidR="006B266D" w:rsidRDefault="006B266D">
      <w:pPr>
        <w:pStyle w:val="EndnoteText"/>
      </w:pPr>
      <w:r w:rsidRPr="00CE3BEC">
        <w:rPr>
          <w:rStyle w:val="EndnoteReference"/>
          <w:rFonts w:ascii="Times New Roman" w:hAnsi="Times New Roman" w:cs="Times New Roman"/>
          <w:sz w:val="16"/>
          <w:szCs w:val="16"/>
        </w:rPr>
        <w:endnoteRef/>
      </w:r>
      <w:r w:rsidRPr="00CE3BEC">
        <w:rPr>
          <w:rFonts w:ascii="Times New Roman" w:hAnsi="Times New Roman" w:cs="Times New Roman"/>
          <w:sz w:val="16"/>
          <w:szCs w:val="16"/>
        </w:rPr>
        <w:t xml:space="preserve"> </w:t>
      </w:r>
      <w:r w:rsidRPr="00CE3BEC">
        <w:rPr>
          <w:rFonts w:ascii="Times New Roman" w:hAnsi="Times New Roman" w:cs="Times New Roman"/>
          <w:color w:val="666666"/>
          <w:sz w:val="16"/>
          <w:szCs w:val="16"/>
        </w:rPr>
        <w:t>Goehring, Jessalee (2008).</w:t>
      </w:r>
      <w:r w:rsidR="00510ED1" w:rsidRPr="00CE3BEC">
        <w:rPr>
          <w:rFonts w:ascii="Times New Roman" w:hAnsi="Times New Roman" w:cs="Times New Roman"/>
          <w:color w:val="666666"/>
          <w:sz w:val="16"/>
          <w:szCs w:val="16"/>
        </w:rPr>
        <w:t xml:space="preserve"> Greenhouse Effect</w:t>
      </w:r>
      <w:r w:rsidRPr="00CE3BEC">
        <w:rPr>
          <w:rFonts w:ascii="Times New Roman" w:hAnsi="Times New Roman" w:cs="Times New Roman"/>
          <w:color w:val="666666"/>
          <w:sz w:val="16"/>
          <w:szCs w:val="16"/>
        </w:rPr>
        <w:t xml:space="preserve"> Lab. </w:t>
      </w:r>
      <w:r w:rsidRPr="00CE3BEC">
        <w:rPr>
          <w:rFonts w:ascii="Times New Roman" w:hAnsi="Times New Roman" w:cs="Times New Roman"/>
          <w:i/>
          <w:iCs/>
          <w:color w:val="666666"/>
          <w:sz w:val="16"/>
          <w:szCs w:val="16"/>
        </w:rPr>
        <w:t>Lodi High School Ag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7475E" w:rsidTr="0027475E">
      <w:tc>
        <w:tcPr>
          <w:tcW w:w="993" w:type="dxa"/>
          <w:tcBorders>
            <w:top w:val="single" w:sz="18" w:space="0" w:color="808080" w:themeColor="background1" w:themeShade="80"/>
            <w:left w:val="nil"/>
            <w:bottom w:val="nil"/>
            <w:right w:val="single" w:sz="18" w:space="0" w:color="808080" w:themeColor="background1" w:themeShade="80"/>
          </w:tcBorders>
          <w:hideMark/>
        </w:tcPr>
        <w:p w:rsidR="0027475E" w:rsidRPr="00792956" w:rsidRDefault="00330F9B">
          <w:pPr>
            <w:pStyle w:val="Footer"/>
            <w:spacing w:line="276" w:lineRule="auto"/>
            <w:jc w:val="right"/>
            <w:rPr>
              <w:rFonts w:eastAsia="Times New Roman"/>
              <w:b/>
              <w:color w:val="4F81BD" w:themeColor="accent1"/>
              <w:sz w:val="32"/>
              <w:szCs w:val="32"/>
            </w:rPr>
          </w:pPr>
          <w:r w:rsidRPr="00792956">
            <w:rPr>
              <w:sz w:val="32"/>
              <w:szCs w:val="32"/>
            </w:rPr>
            <w:fldChar w:fldCharType="begin"/>
          </w:r>
          <w:r w:rsidRPr="00792956">
            <w:rPr>
              <w:sz w:val="32"/>
              <w:szCs w:val="32"/>
            </w:rPr>
            <w:instrText xml:space="preserve"> PAGE   \* MERGEFORMAT </w:instrText>
          </w:r>
          <w:r w:rsidRPr="00792956">
            <w:rPr>
              <w:sz w:val="32"/>
              <w:szCs w:val="32"/>
            </w:rPr>
            <w:fldChar w:fldCharType="separate"/>
          </w:r>
          <w:r w:rsidR="00792956" w:rsidRPr="00792956">
            <w:rPr>
              <w:b/>
              <w:noProof/>
              <w:color w:val="4F81BD" w:themeColor="accent1"/>
              <w:sz w:val="32"/>
              <w:szCs w:val="32"/>
            </w:rPr>
            <w:t>1</w:t>
          </w:r>
          <w:r w:rsidRPr="00792956">
            <w:rPr>
              <w:sz w:val="32"/>
              <w:szCs w:val="32"/>
            </w:rPr>
            <w:fldChar w:fldCharType="end"/>
          </w:r>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27475E" w:rsidRPr="00792956" w:rsidRDefault="0027475E">
          <w:pPr>
            <w:pStyle w:val="Footer"/>
            <w:spacing w:line="276" w:lineRule="auto"/>
            <w:jc w:val="right"/>
            <w:rPr>
              <w:rFonts w:eastAsia="Times New Roman"/>
              <w:b/>
              <w:sz w:val="32"/>
              <w:szCs w:val="32"/>
            </w:rPr>
          </w:pPr>
          <w:r w:rsidRPr="00792956">
            <w:rPr>
              <w:b/>
              <w:sz w:val="32"/>
              <w:szCs w:val="32"/>
            </w:rPr>
            <w:t>LAB C-5</w:t>
          </w:r>
        </w:p>
      </w:tc>
    </w:tr>
  </w:tbl>
  <w:p w:rsidR="0027475E" w:rsidRDefault="0027475E">
    <w:pPr>
      <w:pStyle w:val="Footer"/>
    </w:pPr>
  </w:p>
  <w:p w:rsidR="006B266D" w:rsidRDefault="006B2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43A" w:rsidRDefault="0082543A" w:rsidP="006B266D">
      <w:pPr>
        <w:pStyle w:val="NoSpacing"/>
      </w:pPr>
      <w:r>
        <w:separator/>
      </w:r>
    </w:p>
  </w:footnote>
  <w:footnote w:type="continuationSeparator" w:id="1">
    <w:p w:rsidR="0082543A" w:rsidRDefault="0082543A" w:rsidP="006B266D">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75E" w:rsidRDefault="00274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100"/>
    <w:multiLevelType w:val="hybridMultilevel"/>
    <w:tmpl w:val="256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55589"/>
    <w:multiLevelType w:val="hybridMultilevel"/>
    <w:tmpl w:val="CE6CB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06421"/>
    <w:multiLevelType w:val="hybridMultilevel"/>
    <w:tmpl w:val="3E105EB4"/>
    <w:lvl w:ilvl="0" w:tplc="8B2A51BE">
      <w:start w:val="1"/>
      <w:numFmt w:val="bullet"/>
      <w:lvlText w:val="•"/>
      <w:lvlJc w:val="left"/>
      <w:pPr>
        <w:tabs>
          <w:tab w:val="num" w:pos="720"/>
        </w:tabs>
        <w:ind w:left="720" w:hanging="360"/>
      </w:pPr>
      <w:rPr>
        <w:rFonts w:ascii="Times New Roman" w:hAnsi="Times New Roman" w:hint="default"/>
      </w:rPr>
    </w:lvl>
    <w:lvl w:ilvl="1" w:tplc="64905170" w:tentative="1">
      <w:start w:val="1"/>
      <w:numFmt w:val="bullet"/>
      <w:lvlText w:val="•"/>
      <w:lvlJc w:val="left"/>
      <w:pPr>
        <w:tabs>
          <w:tab w:val="num" w:pos="1440"/>
        </w:tabs>
        <w:ind w:left="1440" w:hanging="360"/>
      </w:pPr>
      <w:rPr>
        <w:rFonts w:ascii="Times New Roman" w:hAnsi="Times New Roman" w:hint="default"/>
      </w:rPr>
    </w:lvl>
    <w:lvl w:ilvl="2" w:tplc="94F057D6" w:tentative="1">
      <w:start w:val="1"/>
      <w:numFmt w:val="bullet"/>
      <w:lvlText w:val="•"/>
      <w:lvlJc w:val="left"/>
      <w:pPr>
        <w:tabs>
          <w:tab w:val="num" w:pos="2160"/>
        </w:tabs>
        <w:ind w:left="2160" w:hanging="360"/>
      </w:pPr>
      <w:rPr>
        <w:rFonts w:ascii="Times New Roman" w:hAnsi="Times New Roman" w:hint="default"/>
      </w:rPr>
    </w:lvl>
    <w:lvl w:ilvl="3" w:tplc="1B82BD96" w:tentative="1">
      <w:start w:val="1"/>
      <w:numFmt w:val="bullet"/>
      <w:lvlText w:val="•"/>
      <w:lvlJc w:val="left"/>
      <w:pPr>
        <w:tabs>
          <w:tab w:val="num" w:pos="2880"/>
        </w:tabs>
        <w:ind w:left="2880" w:hanging="360"/>
      </w:pPr>
      <w:rPr>
        <w:rFonts w:ascii="Times New Roman" w:hAnsi="Times New Roman" w:hint="default"/>
      </w:rPr>
    </w:lvl>
    <w:lvl w:ilvl="4" w:tplc="D3A02122" w:tentative="1">
      <w:start w:val="1"/>
      <w:numFmt w:val="bullet"/>
      <w:lvlText w:val="•"/>
      <w:lvlJc w:val="left"/>
      <w:pPr>
        <w:tabs>
          <w:tab w:val="num" w:pos="3600"/>
        </w:tabs>
        <w:ind w:left="3600" w:hanging="360"/>
      </w:pPr>
      <w:rPr>
        <w:rFonts w:ascii="Times New Roman" w:hAnsi="Times New Roman" w:hint="default"/>
      </w:rPr>
    </w:lvl>
    <w:lvl w:ilvl="5" w:tplc="7D941554" w:tentative="1">
      <w:start w:val="1"/>
      <w:numFmt w:val="bullet"/>
      <w:lvlText w:val="•"/>
      <w:lvlJc w:val="left"/>
      <w:pPr>
        <w:tabs>
          <w:tab w:val="num" w:pos="4320"/>
        </w:tabs>
        <w:ind w:left="4320" w:hanging="360"/>
      </w:pPr>
      <w:rPr>
        <w:rFonts w:ascii="Times New Roman" w:hAnsi="Times New Roman" w:hint="default"/>
      </w:rPr>
    </w:lvl>
    <w:lvl w:ilvl="6" w:tplc="93BADE66" w:tentative="1">
      <w:start w:val="1"/>
      <w:numFmt w:val="bullet"/>
      <w:lvlText w:val="•"/>
      <w:lvlJc w:val="left"/>
      <w:pPr>
        <w:tabs>
          <w:tab w:val="num" w:pos="5040"/>
        </w:tabs>
        <w:ind w:left="5040" w:hanging="360"/>
      </w:pPr>
      <w:rPr>
        <w:rFonts w:ascii="Times New Roman" w:hAnsi="Times New Roman" w:hint="default"/>
      </w:rPr>
    </w:lvl>
    <w:lvl w:ilvl="7" w:tplc="85C2D9F6" w:tentative="1">
      <w:start w:val="1"/>
      <w:numFmt w:val="bullet"/>
      <w:lvlText w:val="•"/>
      <w:lvlJc w:val="left"/>
      <w:pPr>
        <w:tabs>
          <w:tab w:val="num" w:pos="5760"/>
        </w:tabs>
        <w:ind w:left="5760" w:hanging="360"/>
      </w:pPr>
      <w:rPr>
        <w:rFonts w:ascii="Times New Roman" w:hAnsi="Times New Roman" w:hint="default"/>
      </w:rPr>
    </w:lvl>
    <w:lvl w:ilvl="8" w:tplc="470885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C60586"/>
    <w:multiLevelType w:val="hybridMultilevel"/>
    <w:tmpl w:val="1130D20C"/>
    <w:lvl w:ilvl="0" w:tplc="DECCB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3143E7"/>
    <w:rsid w:val="00032DFC"/>
    <w:rsid w:val="000749FC"/>
    <w:rsid w:val="000950BD"/>
    <w:rsid w:val="0013058F"/>
    <w:rsid w:val="001E7E17"/>
    <w:rsid w:val="00215BC3"/>
    <w:rsid w:val="0027475E"/>
    <w:rsid w:val="002B5CCD"/>
    <w:rsid w:val="003143E7"/>
    <w:rsid w:val="00330F9B"/>
    <w:rsid w:val="003473C9"/>
    <w:rsid w:val="00353475"/>
    <w:rsid w:val="00445637"/>
    <w:rsid w:val="00510ED1"/>
    <w:rsid w:val="005143CA"/>
    <w:rsid w:val="00554660"/>
    <w:rsid w:val="005B524B"/>
    <w:rsid w:val="00651636"/>
    <w:rsid w:val="00653031"/>
    <w:rsid w:val="0069673A"/>
    <w:rsid w:val="006B266D"/>
    <w:rsid w:val="00792956"/>
    <w:rsid w:val="00807127"/>
    <w:rsid w:val="0082543A"/>
    <w:rsid w:val="009763F9"/>
    <w:rsid w:val="00A22515"/>
    <w:rsid w:val="00A374CF"/>
    <w:rsid w:val="00A8672E"/>
    <w:rsid w:val="00A93B1A"/>
    <w:rsid w:val="00C922D8"/>
    <w:rsid w:val="00CD1444"/>
    <w:rsid w:val="00CE3BEC"/>
    <w:rsid w:val="00D730DC"/>
    <w:rsid w:val="00EB75CE"/>
    <w:rsid w:val="00F83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E7"/>
  </w:style>
  <w:style w:type="paragraph" w:styleId="Heading1">
    <w:name w:val="heading 1"/>
    <w:basedOn w:val="Normal"/>
    <w:next w:val="Normal"/>
    <w:link w:val="Heading1Char"/>
    <w:uiPriority w:val="9"/>
    <w:qFormat/>
    <w:rsid w:val="00314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3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143E7"/>
    <w:pPr>
      <w:spacing w:after="0" w:line="240" w:lineRule="auto"/>
    </w:pPr>
  </w:style>
  <w:style w:type="table" w:styleId="TableGrid">
    <w:name w:val="Table Grid"/>
    <w:basedOn w:val="TableNormal"/>
    <w:uiPriority w:val="59"/>
    <w:rsid w:val="00A22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6D"/>
    <w:rPr>
      <w:rFonts w:ascii="Tahoma" w:hAnsi="Tahoma" w:cs="Tahoma"/>
      <w:sz w:val="16"/>
      <w:szCs w:val="16"/>
    </w:rPr>
  </w:style>
  <w:style w:type="paragraph" w:styleId="Header">
    <w:name w:val="header"/>
    <w:basedOn w:val="Normal"/>
    <w:link w:val="HeaderChar"/>
    <w:uiPriority w:val="99"/>
    <w:semiHidden/>
    <w:unhideWhenUsed/>
    <w:rsid w:val="006B26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266D"/>
  </w:style>
  <w:style w:type="paragraph" w:styleId="Footer">
    <w:name w:val="footer"/>
    <w:basedOn w:val="Normal"/>
    <w:link w:val="FooterChar"/>
    <w:uiPriority w:val="99"/>
    <w:unhideWhenUsed/>
    <w:rsid w:val="006B2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6D"/>
  </w:style>
  <w:style w:type="paragraph" w:styleId="EndnoteText">
    <w:name w:val="endnote text"/>
    <w:basedOn w:val="Normal"/>
    <w:link w:val="EndnoteTextChar"/>
    <w:uiPriority w:val="99"/>
    <w:semiHidden/>
    <w:unhideWhenUsed/>
    <w:rsid w:val="006B26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266D"/>
    <w:rPr>
      <w:sz w:val="20"/>
      <w:szCs w:val="20"/>
    </w:rPr>
  </w:style>
  <w:style w:type="character" w:styleId="EndnoteReference">
    <w:name w:val="endnote reference"/>
    <w:basedOn w:val="DefaultParagraphFont"/>
    <w:uiPriority w:val="99"/>
    <w:semiHidden/>
    <w:unhideWhenUsed/>
    <w:rsid w:val="006B266D"/>
    <w:rPr>
      <w:vertAlign w:val="superscript"/>
    </w:rPr>
  </w:style>
</w:styles>
</file>

<file path=word/webSettings.xml><?xml version="1.0" encoding="utf-8"?>
<w:webSettings xmlns:r="http://schemas.openxmlformats.org/officeDocument/2006/relationships" xmlns:w="http://schemas.openxmlformats.org/wordprocessingml/2006/main">
  <w:divs>
    <w:div w:id="467943363">
      <w:bodyDiv w:val="1"/>
      <w:marLeft w:val="0"/>
      <w:marRight w:val="0"/>
      <w:marTop w:val="0"/>
      <w:marBottom w:val="0"/>
      <w:divBdr>
        <w:top w:val="none" w:sz="0" w:space="0" w:color="auto"/>
        <w:left w:val="none" w:sz="0" w:space="0" w:color="auto"/>
        <w:bottom w:val="none" w:sz="0" w:space="0" w:color="auto"/>
        <w:right w:val="none" w:sz="0" w:space="0" w:color="auto"/>
      </w:divBdr>
      <w:divsChild>
        <w:div w:id="1847205017">
          <w:marLeft w:val="547"/>
          <w:marRight w:val="0"/>
          <w:marTop w:val="0"/>
          <w:marBottom w:val="0"/>
          <w:divBdr>
            <w:top w:val="none" w:sz="0" w:space="0" w:color="auto"/>
            <w:left w:val="none" w:sz="0" w:space="0" w:color="auto"/>
            <w:bottom w:val="none" w:sz="0" w:space="0" w:color="auto"/>
            <w:right w:val="none" w:sz="0" w:space="0" w:color="auto"/>
          </w:divBdr>
        </w:div>
      </w:divsChild>
    </w:div>
    <w:div w:id="10996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image" Target="media/image2.gif"/><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1.wmf"/><Relationship Id="rId27"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1.2, C 3.3, and C 9.2.</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623E7118-897F-48CC-B1DE-B831A6FE01B5}">
      <dgm:prSet phldrT="[Text]" custT="1"/>
      <dgm:spPr/>
      <dgm:t>
        <a:bodyPr/>
        <a:lstStyle/>
        <a:p>
          <a:endParaRPr lang="en-US" sz="800"/>
        </a:p>
      </dgm:t>
    </dgm:pt>
    <dgm:pt modelId="{53A105F5-EDB4-43F8-BC4C-3B870EB99185}" type="parTrans" cxnId="{BF243B0E-5D1E-404F-8160-8315E7D0BF58}">
      <dgm:prSet/>
      <dgm:spPr/>
    </dgm:pt>
    <dgm:pt modelId="{A1D1CC18-E63D-48CD-A55A-4C4A59BBCC06}" type="sibTrans" cxnId="{BF243B0E-5D1E-404F-8160-8315E7D0BF58}">
      <dgm:prSet/>
      <dgm:spPr/>
    </dgm:pt>
    <dgm:pt modelId="{4042804C-4545-4A6D-9FA7-CDC61C0C300B}">
      <dgm:prSet phldrT="[Text]" custT="1"/>
      <dgm:spPr/>
      <dgm:t>
        <a:bodyPr/>
        <a:lstStyle/>
        <a:p>
          <a:endParaRPr lang="en-US" sz="800"/>
        </a:p>
      </dgm:t>
    </dgm:pt>
    <dgm:pt modelId="{63364044-3910-4D29-B1BC-563ED6722F4C}" type="parTrans" cxnId="{B8D6FAF9-A01C-427E-89D4-6D2E8EF9B2D8}">
      <dgm:prSet/>
      <dgm:spPr/>
    </dgm:pt>
    <dgm:pt modelId="{A9DB3DD5-BABA-48CC-94D8-824CABA17D06}" type="sibTrans" cxnId="{B8D6FAF9-A01C-427E-89D4-6D2E8EF9B2D8}">
      <dgm:prSet/>
      <dgm:spPr/>
    </dgm:pt>
    <dgm:pt modelId="{2134393E-5550-4717-ADF8-0512B589CE08}">
      <dgm:prSet phldrT="[Text]" custT="1"/>
      <dgm:spPr/>
      <dgm:t>
        <a:bodyPr/>
        <a:lstStyle/>
        <a:p>
          <a:r>
            <a:rPr lang="en-US" sz="800"/>
            <a:t>(Foundation) 1.1 </a:t>
          </a:r>
          <a:r>
            <a:rPr lang="en-US" sz="800" i="0"/>
            <a:t>Mathematics,</a:t>
          </a:r>
          <a:r>
            <a:rPr lang="en-US" sz="800" i="1"/>
            <a:t> </a:t>
          </a:r>
          <a:r>
            <a:rPr lang="en-US" sz="800" i="0"/>
            <a:t>Specific Applications of Probability and Statistics: (8.0).</a:t>
          </a:r>
          <a:endParaRPr lang="en-US" sz="800"/>
        </a:p>
      </dgm:t>
    </dgm:pt>
    <dgm:pt modelId="{18BA556D-3F68-4D1A-A13D-DE4E1AD3E9FA}" type="parTrans" cxnId="{4EDDE90C-738A-459E-90AF-EC54D8121CDD}">
      <dgm:prSet/>
      <dgm:spPr/>
    </dgm:pt>
    <dgm:pt modelId="{D41EE9B4-AD6F-4671-A5CE-FC6168700A78}" type="sibTrans" cxnId="{4EDDE90C-738A-459E-90AF-EC54D8121CDD}">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1"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8D6FAF9-A01C-427E-89D4-6D2E8EF9B2D8}" srcId="{ED35E908-99EA-4021-B7AA-FFFF751752DA}" destId="{4042804C-4545-4A6D-9FA7-CDC61C0C300B}" srcOrd="0" destOrd="0" parTransId="{63364044-3910-4D29-B1BC-563ED6722F4C}" sibTransId="{A9DB3DD5-BABA-48CC-94D8-824CABA17D06}"/>
    <dgm:cxn modelId="{E112455E-54BE-475B-AA05-679A77C8E642}" type="presOf" srcId="{ED35E908-99EA-4021-B7AA-FFFF751752DA}" destId="{287B5900-FDF9-4D22-B246-5318F5951704}" srcOrd="0" destOrd="0" presId="urn:microsoft.com/office/officeart/2005/8/layout/vList5"/>
    <dgm:cxn modelId="{9B01E65F-D51F-4EBE-82D9-7FF6F304F12B}" type="presOf" srcId="{4042804C-4545-4A6D-9FA7-CDC61C0C300B}" destId="{D85A961A-C185-4492-A3AB-0E0AC3BBFA0A}" srcOrd="0" destOrd="0" presId="urn:microsoft.com/office/officeart/2005/8/layout/vList5"/>
    <dgm:cxn modelId="{1DE70480-BC42-40C1-A65F-052B0A6C51E8}" type="presOf" srcId="{3EE877E5-497D-48F8-B93E-6023B73C0C2D}" destId="{D85A961A-C185-4492-A3AB-0E0AC3BBFA0A}" srcOrd="0" destOrd="1" presId="urn:microsoft.com/office/officeart/2005/8/layout/vList5"/>
    <dgm:cxn modelId="{BF243B0E-5D1E-404F-8160-8315E7D0BF58}" srcId="{ED35E908-99EA-4021-B7AA-FFFF751752DA}" destId="{623E7118-897F-48CC-B1DE-B831A6FE01B5}" srcOrd="3" destOrd="0" parTransId="{53A105F5-EDB4-43F8-BC4C-3B870EB99185}" sibTransId="{A1D1CC18-E63D-48CD-A55A-4C4A59BBCC06}"/>
    <dgm:cxn modelId="{F7F1B84E-7DC6-441F-BCB9-2413AD74D300}" type="presOf" srcId="{623E7118-897F-48CC-B1DE-B831A6FE01B5}" destId="{D85A961A-C185-4492-A3AB-0E0AC3BBFA0A}" srcOrd="0" destOrd="3" presId="urn:microsoft.com/office/officeart/2005/8/layout/vList5"/>
    <dgm:cxn modelId="{78EF0A03-12B4-4CC1-B956-AA51D3DDCE88}" type="presOf" srcId="{C3C9244B-6B8D-431D-AE6F-7BCD90AB9A2A}" destId="{A4D15F51-D5B8-4FEF-AC1F-DDC6C711288A}" srcOrd="0" destOrd="0" presId="urn:microsoft.com/office/officeart/2005/8/layout/vList5"/>
    <dgm:cxn modelId="{A143F8D6-8794-47E5-8E44-D52B2E1CA9C8}" type="presOf" srcId="{2134393E-5550-4717-ADF8-0512B589CE08}" destId="{D85A961A-C185-4492-A3AB-0E0AC3BBFA0A}" srcOrd="0" destOrd="2" presId="urn:microsoft.com/office/officeart/2005/8/layout/vList5"/>
    <dgm:cxn modelId="{4EDDE90C-738A-459E-90AF-EC54D8121CDD}" srcId="{ED35E908-99EA-4021-B7AA-FFFF751752DA}" destId="{2134393E-5550-4717-ADF8-0512B589CE08}" srcOrd="2" destOrd="0" parTransId="{18BA556D-3F68-4D1A-A13D-DE4E1AD3E9FA}" sibTransId="{D41EE9B4-AD6F-4671-A5CE-FC6168700A78}"/>
    <dgm:cxn modelId="{C0FA2AB5-A184-48A0-9AF0-DE4EC91A949D}" type="presParOf" srcId="{A4D15F51-D5B8-4FEF-AC1F-DDC6C711288A}" destId="{14F679C8-DA1F-4869-9C94-982F261574D1}" srcOrd="0" destOrd="0" presId="urn:microsoft.com/office/officeart/2005/8/layout/vList5"/>
    <dgm:cxn modelId="{1638A010-B96E-4FCF-A34D-6C513D71176D}" type="presParOf" srcId="{14F679C8-DA1F-4869-9C94-982F261574D1}" destId="{287B5900-FDF9-4D22-B246-5318F5951704}" srcOrd="0" destOrd="0" presId="urn:microsoft.com/office/officeart/2005/8/layout/vList5"/>
    <dgm:cxn modelId="{ED7A0EC5-B556-40C7-9078-0CB74FBD7B05}"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6.c and 6.d.</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993AB1FB-2FDD-491C-BF4C-A2F4FD34D2AD}" type="presOf" srcId="{C3C9244B-6B8D-431D-AE6F-7BCD90AB9A2A}" destId="{A4D15F51-D5B8-4FEF-AC1F-DDC6C711288A}" srcOrd="0" destOrd="0" presId="urn:microsoft.com/office/officeart/2005/8/layout/vList5"/>
    <dgm:cxn modelId="{744E1F9B-B5AB-4D0D-BAEA-E0CDBD223BB8}" type="presOf" srcId="{3EE877E5-497D-48F8-B93E-6023B73C0C2D}" destId="{D85A961A-C185-4492-A3AB-0E0AC3BBFA0A}" srcOrd="0" destOrd="0" presId="urn:microsoft.com/office/officeart/2005/8/layout/vList5"/>
    <dgm:cxn modelId="{CC611EC1-3EE3-4FA0-9B2E-5675DAC025E2}" type="presOf" srcId="{ED35E908-99EA-4021-B7AA-FFFF751752DA}" destId="{287B5900-FDF9-4D22-B246-5318F5951704}" srcOrd="0" destOrd="0" presId="urn:microsoft.com/office/officeart/2005/8/layout/vList5"/>
    <dgm:cxn modelId="{9D41D81E-74B5-4F9C-B19A-3DB36EB389D6}" type="presParOf" srcId="{A4D15F51-D5B8-4FEF-AC1F-DDC6C711288A}" destId="{14F679C8-DA1F-4869-9C94-982F261574D1}" srcOrd="0" destOrd="0" presId="urn:microsoft.com/office/officeart/2005/8/layout/vList5"/>
    <dgm:cxn modelId="{020F7577-C38A-4788-9BF0-2C7AF0630FF5}" type="presParOf" srcId="{14F679C8-DA1F-4869-9C94-982F261574D1}" destId="{287B5900-FDF9-4D22-B246-5318F5951704}" srcOrd="0" destOrd="0" presId="urn:microsoft.com/office/officeart/2005/8/layout/vList5"/>
    <dgm:cxn modelId="{A2D56A52-62BE-4A5F-9D0E-2859A1B39CCA}" type="presParOf" srcId="{14F679C8-DA1F-4869-9C94-982F261574D1}" destId="{D85A961A-C185-4492-A3AB-0E0AC3BBFA0A}" srcOrd="1" destOrd="0" presId="urn:microsoft.com/office/officeart/2005/8/layout/vList5"/>
  </dgm:cxnLst>
  <dgm:bg/>
  <dgm:whole/>
  <dgm:extLst>
    <a:ext uri="http://schemas.microsoft.com/office/drawing/2008/diagram">
      <dsp:dataModelExt xmlns=""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(AG) C 1.2, C 3.3, and C 9.2.</a:t>
          </a:r>
        </a:p>
        <a:p>
          <a:pPr marL="57150" lvl="1" indent="-57150" algn="l" defTabSz="355600">
            <a:lnSpc>
              <a:spcPct val="90000"/>
            </a:lnSpc>
            <a:spcBef>
              <a:spcPct val="0"/>
            </a:spcBef>
            <a:spcAft>
              <a:spcPct val="15000"/>
            </a:spcAft>
            <a:buChar char="••"/>
          </a:pPr>
          <a:r>
            <a:rPr lang="en-US" sz="800" kern="1200"/>
            <a:t>(Foundation) 1.1 </a:t>
          </a:r>
          <a:r>
            <a:rPr lang="en-US" sz="800" i="0" kern="1200"/>
            <a:t>Mathematics,</a:t>
          </a:r>
          <a:r>
            <a:rPr lang="en-US" sz="800" i="1" kern="1200"/>
            <a:t> </a:t>
          </a:r>
          <a:r>
            <a:rPr lang="en-US" sz="800" i="0" kern="1200"/>
            <a:t>Specific Applications of Probability and Statistics: (8.0).</a:t>
          </a:r>
          <a:endParaRPr lang="en-US" sz="800" kern="1200"/>
        </a:p>
        <a:p>
          <a:pPr marL="57150" lvl="1" indent="-57150" algn="l" defTabSz="355600">
            <a:lnSpc>
              <a:spcPct val="90000"/>
            </a:lnSpc>
            <a:spcBef>
              <a:spcPct val="0"/>
            </a:spcBef>
            <a:spcAft>
              <a:spcPct val="15000"/>
            </a:spcAft>
            <a:buChar char="••"/>
          </a:pPr>
          <a:endParaRPr lang="en-US" sz="800" kern="1200"/>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6.c and 6.d.</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899E-FBD0-46F8-B78D-6373ABC6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8</cp:revision>
  <cp:lastPrinted>2009-06-19T23:56:00Z</cp:lastPrinted>
  <dcterms:created xsi:type="dcterms:W3CDTF">2009-09-11T17:39:00Z</dcterms:created>
  <dcterms:modified xsi:type="dcterms:W3CDTF">2009-09-23T23:34:00Z</dcterms:modified>
</cp:coreProperties>
</file>